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xmlns:wp="http://schemas.openxmlformats.org/drawingml/2006/wordprocessingDrawing">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ZJHU20260227004</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湖州师范学院音乐学院音乐厅座椅设备货物采购项目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2026年03月23日</w:t>
      </w:r>
    </w:p>
    <w:p>
      <w:pPr>
        <w:spacing w:before="0" w:after="0" w:lineRule="exact" w:line="225"/>
      </w:pPr>
    </w:p>
    <w:p>
      <w:pPr>
        <w:sectPr>
          <w:headerReference w:type="default" r:id="rId9"/>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2026年03月31日 09时00分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ZJHU20260227004</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湖州师范学院音乐学院音乐厅座椅设备货物采购项目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42.6992</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最高限价(总价)：42.6992万元，超过最高限价的报价为无效报价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采购音乐厅座椅400把，双开门6樘，地面PVC卷材586平方米，音频及模块修补等。</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8月20日前完成安装</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参加政府采购活动前三年内（新成立不满三年的公司自成立之日起算）在经营活动中没有重大违法记录；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，不接受现场报名。须上传经工商部门通过年检的企业法人营业执照副本、加盖公章的法人授权委托书、被授权人身份证及在本单位的社保证明材料。</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2026年03月27日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2026年03月31日 09时00分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2026年03月31日 09时00分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本项目组织现场勘查，勘查时间3月30日，联系人：周老师，联系电话：0572-2321891</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周老师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2321891</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2026年03月23日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10"/>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湖州师范学院音乐学院音乐厅座椅设备货物采购项目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湖州师范学院中校区16幢音乐厅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8月20日前完成安装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435"/>
        </w:trPr>
        <w:tc>
          <w:tcPr>
            <w:tcW w:type="dxa" w:w="63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2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7335"/>
            <w:tcBorders>
              <w:top w:val="nil"/>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时间：</w:t>
            </w:r>
            <w:r>
              <w:rPr>
                <w:rFonts w:ascii="宋体" w:hAnsi="宋体" w:cs="宋体" w:eastAsia="宋体"/>
                <w:color w:val="000000"/>
                <w:sz w:val="21"/>
                <w:u w:val="single"/>
              </w:rPr>
              <w:t>2026年3月30日</w:t>
            </w:r>
            <w:r>
              <w:rPr>
                <w:rFonts w:ascii="宋体" w:hAnsi="宋体" w:cs="宋体" w:eastAsia="宋体"/>
                <w:color w:val="000000"/>
                <w:sz w:val="21"/>
              </w:rPr>
              <w:t>,地点：</w:t>
            </w:r>
            <w:r>
              <w:rPr>
                <w:rFonts w:ascii="宋体" w:hAnsi="宋体" w:cs="宋体" w:eastAsia="宋体"/>
                <w:color w:val="000000"/>
                <w:sz w:val="21"/>
                <w:u w:val="single"/>
              </w:rPr>
              <w:t>16-000音乐厅</w:t>
            </w:r>
            <w:r>
              <w:rPr>
                <w:rFonts w:ascii="宋体" w:hAnsi="宋体" w:cs="宋体" w:eastAsia="宋体"/>
                <w:color w:val="000000"/>
                <w:sz w:val="21"/>
              </w:rPr>
              <w:t>，联系人：</w:t>
            </w:r>
            <w:r>
              <w:rPr>
                <w:rFonts w:ascii="宋体" w:hAnsi="宋体" w:cs="宋体" w:eastAsia="宋体"/>
                <w:color w:val="000000"/>
                <w:sz w:val="21"/>
                <w:u w:val="single"/>
              </w:rPr>
              <w:t>周老师</w:t>
            </w:r>
            <w:r>
              <w:rPr>
                <w:rFonts w:ascii="宋体" w:hAnsi="宋体" w:cs="宋体" w:eastAsia="宋体"/>
                <w:color w:val="000000"/>
                <w:sz w:val="21"/>
              </w:rPr>
              <w:t>，联系方式：</w:t>
            </w:r>
            <w:r>
              <w:rPr>
                <w:rFonts w:ascii="宋体" w:hAnsi="宋体" w:cs="宋体" w:eastAsia="宋体"/>
                <w:color w:val="000000"/>
                <w:sz w:val="21"/>
                <w:u w:val="single"/>
              </w:rPr>
              <w:t>2321891</w:t>
            </w:r>
            <w:r>
              <w:rPr>
                <w:rFonts w:ascii="宋体" w:hAnsi="宋体" w:cs="宋体" w:eastAsia="宋体"/>
                <w:color w:val="000000"/>
                <w:sz w:val="21"/>
              </w:rPr>
              <w:t>。</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样品包括：座椅龙骨、面料及回弹海绵，尺寸规格不低于20×20厘米</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42.6992</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42.6992万元</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中小企业声明函；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14.1.3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实施进度计划表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产品质保服务内容及质保期；</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14.3.6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8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7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8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地面PVC卷材（含自流平）</w:t>
            </w:r>
          </w:p>
        </w:tc>
        <w:tc>
          <w:tcPr>
            <w:tcW w:type="dxa" w:w="17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586</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平方米</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48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不锈钢七字压条</w:t>
            </w:r>
          </w:p>
        </w:tc>
        <w:tc>
          <w:tcPr>
            <w:tcW w:type="dxa" w:w="17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612</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米</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48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双开防火门</w:t>
            </w:r>
          </w:p>
        </w:tc>
        <w:tc>
          <w:tcPr>
            <w:tcW w:type="dxa" w:w="17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樘</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48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椅子(包含拆除、保洁、垃圾清理)</w:t>
            </w:r>
          </w:p>
        </w:tc>
        <w:tc>
          <w:tcPr>
            <w:tcW w:type="dxa" w:w="17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400</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把</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48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舞台音频模块（音频地盒、卡农线材料等）、网关、交换机</w:t>
            </w:r>
          </w:p>
        </w:tc>
        <w:tc>
          <w:tcPr>
            <w:tcW w:type="dxa" w:w="17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48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原设备拆除、清运、新设备安装、调试及辅材</w:t>
            </w:r>
          </w:p>
        </w:tc>
        <w:tc>
          <w:tcPr>
            <w:tcW w:type="dxa" w:w="17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4890"/>
            <w:tcBorders>
              <w:top w:val="single" w:sz="6"/>
              <w:left w:val="nil"/>
              <w:bottom w:val="nil"/>
              <w:right w:val="nil"/>
            </w:tcBorders>
            <w:tcMar>
              <w:top w:w="20" w:type="dxa"/>
              <w:left w:w="20" w:type="dxa"/>
              <w:bottom w:w="20" w:type="dxa"/>
              <w:right w:w="20" w:type="dxa"/>
            </w:tcMar>
          </w:tcPr>
          <w:p>
            <w:pPr>
              <w:wordWrap w:val="off"/>
            </w:pPr>
          </w:p>
        </w:tc>
        <w:tc>
          <w:tcPr>
            <w:tcW w:type="dxa" w:w="174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ind w:firstLineChars="100"/>
        <w:jc w:val="left"/>
      </w:pPr>
      <w:r>
        <w:rPr>
          <w:rFonts w:ascii="SimSun" w:hAnsi="SimSun" w:cs="SimSun" w:eastAsia="SimSun"/>
          <w:color w:val="000000"/>
          <w:sz w:val="21"/>
        </w:rPr>
        <w:t/>
      </w:r>
    </w:p>
    <w:tbl>
      <w:tblPr>
        <w:tblW w:w="0" w:type="auto"/>
        <w:tblBorders>
          <w:top w:val="single"/>
          <w:left w:val="single"/>
          <w:bottom w:val="single"/>
          <w:right w:val="single"/>
          <w:insideH w:val="single"/>
          <w:insideV w:val="single"/>
        </w:tblBorders>
      </w:tblPr>
      <w:tblPr>
        <w:tblW w:type="dxa" w:w="8325"/>
        <w:jc w:val="center"/>
        <w:tblBorders>
          <w:top w:sz="6" w:val="single" w:color="000000"/>
          <w:left w:sz="6" w:val="single" w:color="000000"/>
          <w:bottom w:sz="6" w:val="single" w:color="000000"/>
          <w:right w:sz="6" w:val="single" w:color="000000"/>
        </w:tblBorders>
      </w:tblPr>
      <w:tr>
        <w:tc>
          <w:tcPr>
            <w:tcW w:type="dxa" w:w="600"/>
            <w:tcBorders>
              <w:top w:val="none"/>
              <w:left w:val="none"/>
              <w:bottom w:val="nil"/>
              <w:right w:val="nil"/>
            </w:tcBorders>
            <w:vAlign w:val="center"/>
          </w:tcPr>
          <w:p>
            <w:pPr>
              <w:wordWrap w:val="off"/>
              <w:jc w:val="left"/>
            </w:pPr>
          </w:p>
        </w:tc>
        <w:tc>
          <w:tcPr>
            <w:tcW w:type="dxa" w:w="1275"/>
            <w:tcBorders>
              <w:top w:val="none"/>
              <w:left w:val="nil"/>
              <w:bottom w:val="nil"/>
              <w:right w:val="nil"/>
            </w:tcBorders>
            <w:vAlign w:val="center"/>
          </w:tcPr>
          <w:p>
            <w:pPr>
              <w:wordWrap w:val="off"/>
              <w:jc w:val="left"/>
            </w:pPr>
          </w:p>
        </w:tc>
        <w:tc>
          <w:tcPr>
            <w:tcW w:type="dxa" w:w="6360"/>
            <w:tcBorders>
              <w:top w:val="none"/>
              <w:left w:val="nil"/>
              <w:bottom w:val="nil"/>
              <w:right w:val="nil"/>
            </w:tcBorders>
            <w:vAlign w:val="center"/>
          </w:tcPr>
          <w:p>
            <w:pPr>
              <w:wordWrap w:val="off"/>
              <w:jc w:val="left"/>
            </w:pPr>
          </w:p>
        </w:tc>
        <w:tc>
          <w:tcPr>
            <w:tcW w:type="dxa" w:w="705"/>
            <w:tcBorders>
              <w:top w:val="none"/>
              <w:left w:val="nil"/>
              <w:bottom w:val="nil"/>
              <w:right w:val="nil"/>
            </w:tcBorders>
            <w:vAlign w:val="center"/>
          </w:tcPr>
          <w:p>
            <w:pPr>
              <w:wordWrap w:val="off"/>
              <w:jc w:val="left"/>
            </w:pPr>
          </w:p>
        </w:tc>
        <w:tc>
          <w:tcPr>
            <w:tcW w:type="dxa" w:w="645"/>
            <w:tcBorders>
              <w:top w:val="none"/>
              <w:left w:val="nil"/>
              <w:bottom w:val="nil"/>
              <w:right w:val="none"/>
            </w:tcBorders>
            <w:vAlign w:val="center"/>
          </w:tcPr>
          <w:p>
            <w:pPr>
              <w:wordWrap w:val="off"/>
              <w:jc w:val="left"/>
            </w:pPr>
          </w:p>
        </w:tc>
      </w:tr>
      <w:tr>
        <w:trPr>
          <w:trHeight w:val="300"/>
        </w:trPr>
        <w:tc>
          <w:tcPr>
            <w:tcW w:type="dxa" w:w="600"/>
            <w:tcBorders>
              <w:top w:val="single" w:sz="6" w:color="000000"/>
              <w:left w:val="none" w:sz="6" w:color="000000"/>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序号</w:t>
            </w:r>
          </w:p>
        </w:tc>
        <w:tc>
          <w:tcPr>
            <w:tcW w:type="dxa" w:w="1275"/>
            <w:tcBorders>
              <w:top w:val="single" w:sz="6" w:color="000000"/>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名称</w:t>
            </w:r>
          </w:p>
        </w:tc>
        <w:tc>
          <w:tcPr>
            <w:tcW w:type="dxa" w:w="6360"/>
            <w:tcBorders>
              <w:top w:val="single" w:sz="6" w:color="000000"/>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规格</w:t>
            </w:r>
          </w:p>
        </w:tc>
        <w:tc>
          <w:tcPr>
            <w:tcW w:type="dxa" w:w="705"/>
            <w:tcBorders>
              <w:top w:val="single" w:sz="6" w:color="000000"/>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数量</w:t>
            </w:r>
          </w:p>
        </w:tc>
        <w:tc>
          <w:tcPr>
            <w:tcW w:type="dxa" w:w="645"/>
            <w:tcBorders>
              <w:top w:val="single" w:sz="6" w:color="000000"/>
              <w:left w:val="nil"/>
              <w:bottom w:val="single" w:sz="6" w:color="000000"/>
              <w:right w:val="none"/>
            </w:tcBorders>
            <w:vAlign w:val="center"/>
          </w:tcPr>
          <w:p>
            <w:pPr>
              <w:wordWrap w:val="off"/>
              <w:spacing w:lineRule="exact" w:line="378"/>
              <w:jc w:val="center"/>
            </w:pPr>
            <w:r>
              <w:rPr>
                <w:rFonts w:ascii="SimSun" w:hAnsi="SimSun" w:cs="SimSun" w:eastAsia="SimSun"/>
                <w:color w:val="000000"/>
                <w:sz w:val="21"/>
              </w:rPr>
              <w:t>单位</w:t>
            </w:r>
          </w:p>
        </w:tc>
      </w:tr>
      <w:tr>
        <w:trPr>
          <w:trHeight w:val="300"/>
        </w:trPr>
        <w:tc>
          <w:tcPr>
            <w:tcW w:type="dxa" w:w="600"/>
            <w:tcBorders>
              <w:top w:val="nil"/>
              <w:left w:val="none" w:sz="6" w:color="000000"/>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w:t>
            </w:r>
          </w:p>
        </w:tc>
        <w:tc>
          <w:tcPr>
            <w:tcW w:type="dxa" w:w="1275"/>
            <w:tcBorders>
              <w:top w:val="nil"/>
              <w:left w:val="nil"/>
              <w:bottom w:val="single" w:sz="6" w:color="000000"/>
              <w:right w:val="single" w:sz="6" w:color="000000"/>
            </w:tcBorders>
            <w:vAlign w:val="center"/>
          </w:tcPr>
          <w:p>
            <w:pPr>
              <w:wordWrap w:val="off"/>
              <w:jc w:val="left"/>
            </w:pPr>
            <w:r>
              <w:rPr>
                <w:rFonts w:ascii="SimSun" w:hAnsi="SimSun" w:cs="SimSun" w:eastAsia="SimSun"/>
                <w:color w:val="000000"/>
                <w:sz w:val="21"/>
              </w:rPr>
              <w:t>地面PVC卷材（含自流平）</w:t>
            </w:r>
          </w:p>
        </w:tc>
        <w:tc>
          <w:tcPr>
            <w:tcW w:type="dxa" w:w="6360"/>
            <w:tcBorders>
              <w:top w:val="nil"/>
              <w:left w:val="nil"/>
              <w:bottom w:val="single" w:sz="6" w:color="000000"/>
              <w:right w:val="single" w:sz="6" w:color="000000"/>
            </w:tcBorders>
            <w:vAlign w:val="center"/>
          </w:tcPr>
          <w:p>
            <w:pPr>
              <w:wordWrap w:val="off"/>
              <w:spacing w:lineRule="exact" w:line="378"/>
              <w:jc w:val="left"/>
            </w:pPr>
            <w:r>
              <w:rPr>
                <w:rFonts w:ascii="SimSun" w:hAnsi="SimSun" w:cs="SimSun" w:eastAsia="SimSun"/>
                <w:color w:val="000000"/>
                <w:sz w:val="21"/>
              </w:rPr>
              <w:t>1、功能要求描述：原地面破损修补，清洁。</w:t>
            </w:r>
          </w:p>
          <w:p>
            <w:pPr>
              <w:wordWrap w:val="off"/>
              <w:spacing w:lineRule="exact" w:line="378"/>
              <w:jc w:val="left"/>
            </w:pPr>
            <w:r>
              <w:rPr>
                <w:rFonts w:ascii="SimSun" w:hAnsi="SimSun" w:cs="SimSun" w:eastAsia="SimSun"/>
                <w:color w:val="000000"/>
                <w:sz w:val="21"/>
              </w:rPr>
              <w:t>2、卷材参数：总厚度满足GB/T11982.1-2015标准 2.0mm，</w:t>
            </w:r>
          </w:p>
          <w:p>
            <w:pPr>
              <w:wordWrap w:val="off"/>
              <w:spacing w:lineRule="exact" w:line="378"/>
              <w:jc w:val="left"/>
            </w:pPr>
            <w:r>
              <w:rPr>
                <w:rFonts w:ascii="SimSun" w:hAnsi="SimSun" w:cs="SimSun" w:eastAsia="SimSun"/>
                <w:color w:val="000000"/>
                <w:sz w:val="21"/>
              </w:rPr>
              <w:t>耐磨层厚度</w:t>
            </w:r>
            <w:r>
              <w:rPr>
                <w:rFonts w:ascii="宋体" w:hAnsi="宋体" w:cs="宋体" w:eastAsia="宋体"/>
                <w:color w:val="000000"/>
                <w:sz w:val="21"/>
              </w:rPr>
              <w:t> </w:t>
            </w:r>
            <w:r>
              <w:rPr>
                <w:rFonts w:ascii="SimSun" w:hAnsi="SimSun" w:cs="SimSun" w:eastAsia="SimSun"/>
                <w:color w:val="000000"/>
                <w:sz w:val="21"/>
              </w:rPr>
              <w:t>GB/T11982.1-2015 0.3mm</w:t>
            </w:r>
          </w:p>
          <w:p>
            <w:pPr>
              <w:wordWrap w:val="off"/>
              <w:spacing w:lineRule="exact" w:line="378"/>
              <w:jc w:val="left"/>
            </w:pPr>
            <w:r>
              <w:rPr>
                <w:rFonts w:ascii="SimSun" w:hAnsi="SimSun" w:cs="SimSun" w:eastAsia="SimSun"/>
                <w:color w:val="000000"/>
                <w:sz w:val="21"/>
              </w:rPr>
              <w:t>重量 GB/T11982.1-2015 3000g/㎡</w:t>
            </w:r>
          </w:p>
          <w:p>
            <w:pPr>
              <w:wordWrap w:val="off"/>
              <w:spacing w:lineRule="exact" w:line="378"/>
              <w:jc w:val="left"/>
            </w:pPr>
            <w:r>
              <w:rPr>
                <w:rFonts w:ascii="SimSun" w:hAnsi="SimSun" w:cs="SimSun" w:eastAsia="SimSun"/>
                <w:color w:val="000000"/>
                <w:sz w:val="21"/>
              </w:rPr>
              <w:t>卷宽</w:t>
            </w:r>
            <w:r>
              <w:rPr>
                <w:rFonts w:ascii="宋体" w:hAnsi="宋体" w:cs="宋体" w:eastAsia="宋体"/>
                <w:color w:val="000000"/>
                <w:sz w:val="21"/>
              </w:rPr>
              <w:t> </w:t>
            </w:r>
            <w:r>
              <w:rPr>
                <w:rFonts w:ascii="SimSun" w:hAnsi="SimSun" w:cs="SimSun" w:eastAsia="SimSun"/>
                <w:color w:val="000000"/>
                <w:sz w:val="21"/>
              </w:rPr>
              <w:t>GB/T11982.1-2015 2m</w:t>
            </w:r>
          </w:p>
          <w:p>
            <w:pPr>
              <w:wordWrap w:val="off"/>
              <w:spacing w:lineRule="exact" w:line="378"/>
              <w:jc w:val="left"/>
            </w:pPr>
            <w:r>
              <w:rPr>
                <w:rFonts w:ascii="SimSun" w:hAnsi="SimSun" w:cs="SimSun" w:eastAsia="SimSun"/>
                <w:color w:val="000000"/>
                <w:sz w:val="21"/>
              </w:rPr>
              <w:t>卷长</w:t>
            </w:r>
            <w:r>
              <w:rPr>
                <w:rFonts w:ascii="宋体" w:hAnsi="宋体" w:cs="宋体" w:eastAsia="宋体"/>
                <w:color w:val="000000"/>
                <w:sz w:val="21"/>
              </w:rPr>
              <w:t> </w:t>
            </w:r>
            <w:r>
              <w:rPr>
                <w:rFonts w:ascii="SimSun" w:hAnsi="SimSun" w:cs="SimSun" w:eastAsia="SimSun"/>
                <w:color w:val="000000"/>
                <w:sz w:val="21"/>
              </w:rPr>
              <w:t>GB/T11982.1-2015 20m</w:t>
            </w:r>
            <w:r>
              <w:rPr>
                <w:rFonts w:ascii="宋体" w:hAnsi="宋体" w:cs="宋体" w:eastAsia="宋体"/>
                <w:color w:val="000000"/>
                <w:sz w:val="21"/>
              </w:rPr>
              <w:t> </w:t>
            </w:r>
            <w:r>
              <w:rPr>
                <w:rFonts w:ascii="SimSun" w:hAnsi="SimSun" w:cs="SimSun" w:eastAsia="SimSun"/>
                <w:color w:val="000000"/>
                <w:sz w:val="21"/>
              </w:rPr>
              <w:t xml:space="preserve"> 同上</w:t>
            </w:r>
          </w:p>
          <w:p>
            <w:pPr>
              <w:wordWrap w:val="off"/>
              <w:spacing w:lineRule="exact" w:line="378"/>
              <w:jc w:val="left"/>
            </w:pPr>
            <w:r>
              <w:rPr>
                <w:rFonts w:ascii="SimSun" w:hAnsi="SimSun" w:cs="SimSun" w:eastAsia="SimSun"/>
                <w:color w:val="000000"/>
                <w:sz w:val="21"/>
              </w:rPr>
              <w:t>3、提供以下检测报告：</w:t>
            </w:r>
          </w:p>
          <w:p>
            <w:pPr>
              <w:wordWrap w:val="off"/>
              <w:spacing w:lineRule="exact" w:line="378"/>
              <w:jc w:val="left"/>
            </w:pPr>
            <w:r>
              <w:rPr>
                <w:rFonts w:ascii="SimSun" w:hAnsi="SimSun" w:cs="SimSun" w:eastAsia="SimSun"/>
                <w:color w:val="000000"/>
                <w:sz w:val="21"/>
              </w:rPr>
              <w:t>（1）耐磨等级</w:t>
            </w:r>
            <w:r>
              <w:rPr>
                <w:rFonts w:ascii="宋体" w:hAnsi="宋体" w:cs="宋体" w:eastAsia="宋体"/>
                <w:color w:val="000000"/>
                <w:sz w:val="21"/>
              </w:rPr>
              <w:t> </w:t>
            </w:r>
            <w:r>
              <w:rPr>
                <w:rFonts w:ascii="SimSun" w:hAnsi="SimSun" w:cs="SimSun" w:eastAsia="SimSun"/>
                <w:color w:val="000000"/>
                <w:sz w:val="21"/>
              </w:rPr>
              <w:t xml:space="preserve"> T级</w:t>
            </w:r>
          </w:p>
          <w:p>
            <w:pPr>
              <w:wordWrap w:val="off"/>
              <w:spacing w:lineRule="exact" w:line="378"/>
              <w:jc w:val="left"/>
            </w:pPr>
            <w:r>
              <w:rPr>
                <w:rFonts w:ascii="SimSun" w:hAnsi="SimSun" w:cs="SimSun" w:eastAsia="SimSun"/>
                <w:color w:val="000000"/>
                <w:sz w:val="21"/>
              </w:rPr>
              <w:t>（2）防火等级（C-s1,t0）级</w:t>
            </w:r>
          </w:p>
          <w:p>
            <w:pPr>
              <w:wordWrap w:val="off"/>
              <w:spacing w:lineRule="exact" w:line="378"/>
              <w:jc w:val="left"/>
            </w:pPr>
            <w:r>
              <w:rPr>
                <w:rFonts w:ascii="SimSun" w:hAnsi="SimSun" w:cs="SimSun" w:eastAsia="SimSun"/>
                <w:color w:val="000000"/>
                <w:sz w:val="21"/>
              </w:rPr>
              <w:t>（3）有害物质限量（附检测报告）</w:t>
            </w:r>
            <w:r>
              <w:rPr>
                <w:rFonts w:ascii="宋体" w:hAnsi="宋体" w:cs="宋体" w:eastAsia="宋体"/>
                <w:color w:val="000000"/>
                <w:sz w:val="21"/>
              </w:rPr>
              <w:t> </w:t>
            </w:r>
            <w:r>
              <w:rPr>
                <w:rFonts w:ascii="SimSun" w:hAnsi="SimSun" w:cs="SimSun" w:eastAsia="SimSun"/>
                <w:color w:val="000000"/>
                <w:sz w:val="21"/>
              </w:rPr>
              <w:t>氯乙烯</w:t>
            </w:r>
            <w:r>
              <w:rPr>
                <w:rFonts w:ascii="宋体" w:hAnsi="宋体" w:cs="宋体" w:eastAsia="宋体"/>
                <w:color w:val="000000"/>
                <w:sz w:val="21"/>
              </w:rPr>
              <w:t> </w:t>
            </w:r>
          </w:p>
          <w:p>
            <w:pPr>
              <w:wordWrap w:val="off"/>
              <w:spacing w:lineRule="exact" w:line="378"/>
              <w:jc w:val="left"/>
            </w:pPr>
            <w:r>
              <w:rPr>
                <w:rFonts w:ascii="SimSun" w:hAnsi="SimSun" w:cs="SimSun" w:eastAsia="SimSun"/>
                <w:color w:val="000000"/>
                <w:sz w:val="21"/>
              </w:rPr>
              <w:t>（5）可溶性重金属</w:t>
            </w:r>
            <w:r>
              <w:rPr>
                <w:rFonts w:ascii="宋体" w:hAnsi="宋体" w:cs="宋体" w:eastAsia="宋体"/>
                <w:color w:val="000000"/>
                <w:sz w:val="21"/>
              </w:rPr>
              <w:t> </w:t>
            </w:r>
          </w:p>
          <w:p>
            <w:pPr>
              <w:wordWrap w:val="off"/>
              <w:spacing w:lineRule="exact" w:line="378"/>
              <w:jc w:val="left"/>
            </w:pPr>
            <w:r>
              <w:rPr>
                <w:rFonts w:ascii="SimSun" w:hAnsi="SimSun" w:cs="SimSun" w:eastAsia="SimSun"/>
                <w:color w:val="000000"/>
                <w:sz w:val="21"/>
              </w:rPr>
              <w:t>（6）防滑性能</w:t>
            </w:r>
            <w:r>
              <w:rPr>
                <w:rFonts w:ascii="宋体" w:hAnsi="宋体" w:cs="宋体" w:eastAsia="宋体"/>
                <w:color w:val="000000"/>
                <w:sz w:val="21"/>
              </w:rPr>
              <w:t> </w:t>
            </w:r>
            <w:r>
              <w:rPr>
                <w:rFonts w:ascii="SimSun" w:hAnsi="SimSun" w:cs="SimSun" w:eastAsia="SimSun"/>
                <w:color w:val="000000"/>
                <w:sz w:val="21"/>
              </w:rPr>
              <w:t>干法 0.6-0.81湿法0.5- 0.70</w:t>
            </w:r>
          </w:p>
          <w:p>
            <w:pPr>
              <w:wordWrap w:val="off"/>
              <w:spacing w:lineRule="exact" w:line="378"/>
              <w:jc w:val="left"/>
            </w:pPr>
            <w:r>
              <w:rPr>
                <w:rFonts w:ascii="SimSun" w:hAnsi="SimSun" w:cs="SimSun" w:eastAsia="SimSun"/>
                <w:color w:val="000000"/>
                <w:sz w:val="21"/>
              </w:rPr>
              <w:t>（7）椅子脚轮耐磨试验</w:t>
            </w:r>
            <w:r>
              <w:rPr>
                <w:rFonts w:ascii="宋体" w:hAnsi="宋体" w:cs="宋体" w:eastAsia="宋体"/>
                <w:color w:val="000000"/>
                <w:sz w:val="21"/>
              </w:rPr>
              <w:t> </w:t>
            </w:r>
            <w:r>
              <w:rPr>
                <w:rFonts w:ascii="宋体" w:hAnsi="宋体" w:cs="宋体" w:eastAsia="宋体"/>
                <w:color w:val="000000"/>
                <w:sz w:val="21"/>
              </w:rPr>
              <w:t> </w:t>
            </w:r>
            <w:r>
              <w:rPr>
                <w:rFonts w:ascii="SimSun" w:hAnsi="SimSun" w:cs="SimSun" w:eastAsia="SimSun"/>
                <w:color w:val="000000"/>
                <w:sz w:val="21"/>
              </w:rPr>
              <w:t xml:space="preserve"> 无破坏</w:t>
            </w:r>
          </w:p>
          <w:p>
            <w:pPr>
              <w:wordWrap w:val="off"/>
              <w:spacing w:lineRule="exact" w:line="378"/>
              <w:jc w:val="left"/>
            </w:pPr>
            <w:r>
              <w:rPr>
                <w:rFonts w:ascii="SimSun" w:hAnsi="SimSun" w:cs="SimSun" w:eastAsia="SimSun"/>
                <w:color w:val="000000"/>
                <w:sz w:val="21"/>
              </w:rPr>
              <w:t>（8）甲醛释放量（附检测报告）</w:t>
            </w:r>
            <w:r>
              <w:rPr>
                <w:rFonts w:ascii="宋体" w:hAnsi="宋体" w:cs="宋体" w:eastAsia="宋体"/>
                <w:color w:val="000000"/>
                <w:sz w:val="21"/>
              </w:rPr>
              <w:t> </w:t>
            </w:r>
            <w:r>
              <w:rPr>
                <w:rFonts w:ascii="SimSun" w:hAnsi="SimSun" w:cs="SimSun" w:eastAsia="SimSun"/>
                <w:color w:val="000000"/>
                <w:sz w:val="21"/>
              </w:rPr>
              <w:t>符合E0等级要求</w:t>
            </w:r>
          </w:p>
        </w:tc>
        <w:tc>
          <w:tcPr>
            <w:tcW w:type="dxa" w:w="70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586</w:t>
            </w:r>
          </w:p>
        </w:tc>
        <w:tc>
          <w:tcPr>
            <w:tcW w:type="dxa" w:w="645"/>
            <w:tcBorders>
              <w:top w:val="nil"/>
              <w:left w:val="nil"/>
              <w:bottom w:val="single" w:sz="6" w:color="000000"/>
              <w:right w:val="none"/>
            </w:tcBorders>
            <w:vAlign w:val="center"/>
          </w:tcPr>
          <w:p>
            <w:pPr>
              <w:wordWrap w:val="off"/>
              <w:spacing w:lineRule="exact" w:line="378"/>
              <w:jc w:val="center"/>
            </w:pPr>
            <w:r>
              <w:rPr>
                <w:rFonts w:ascii="SimSun" w:hAnsi="SimSun" w:cs="SimSun" w:eastAsia="SimSun"/>
                <w:color w:val="000000"/>
                <w:sz w:val="21"/>
              </w:rPr>
              <w:t>平方米</w:t>
            </w:r>
          </w:p>
        </w:tc>
      </w:tr>
      <w:tr>
        <w:trPr>
          <w:trHeight w:val="300"/>
        </w:trPr>
        <w:tc>
          <w:tcPr>
            <w:tcW w:type="dxa" w:w="600"/>
            <w:tcBorders>
              <w:top w:val="nil"/>
              <w:left w:val="none" w:sz="6" w:color="000000"/>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2</w:t>
            </w:r>
          </w:p>
        </w:tc>
        <w:tc>
          <w:tcPr>
            <w:tcW w:type="dxa" w:w="1275"/>
            <w:tcBorders>
              <w:top w:val="nil"/>
              <w:left w:val="nil"/>
              <w:bottom w:val="single" w:sz="6" w:color="000000"/>
              <w:right w:val="single" w:sz="6" w:color="000000"/>
            </w:tcBorders>
            <w:vAlign w:val="center"/>
          </w:tcPr>
          <w:p>
            <w:pPr>
              <w:wordWrap w:val="off"/>
              <w:jc w:val="left"/>
            </w:pPr>
            <w:r>
              <w:rPr>
                <w:rFonts w:ascii="SimSun" w:hAnsi="SimSun" w:cs="SimSun" w:eastAsia="SimSun"/>
                <w:color w:val="000000"/>
                <w:sz w:val="21"/>
              </w:rPr>
              <w:t>不锈钢七字压条</w:t>
            </w:r>
          </w:p>
        </w:tc>
        <w:tc>
          <w:tcPr>
            <w:tcW w:type="dxa" w:w="6360"/>
            <w:tcBorders>
              <w:top w:val="nil"/>
              <w:left w:val="nil"/>
              <w:bottom w:val="single" w:sz="6" w:color="000000"/>
              <w:right w:val="single" w:sz="6" w:color="000000"/>
            </w:tcBorders>
            <w:vAlign w:val="center"/>
          </w:tcPr>
          <w:p>
            <w:pPr>
              <w:wordWrap w:val="off"/>
              <w:jc w:val="left"/>
            </w:pPr>
            <w:r>
              <w:rPr>
                <w:rFonts w:ascii="SimSun" w:hAnsi="SimSun" w:cs="SimSun" w:eastAsia="SimSun"/>
                <w:color w:val="000000"/>
                <w:sz w:val="21"/>
              </w:rPr>
              <w:t>国优定制。铝合金：横向5MM有防滑槽纹,拐角3MM。厚度1.5MM。</w:t>
            </w:r>
          </w:p>
        </w:tc>
        <w:tc>
          <w:tcPr>
            <w:tcW w:type="dxa" w:w="70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612</w:t>
            </w:r>
          </w:p>
        </w:tc>
        <w:tc>
          <w:tcPr>
            <w:tcW w:type="dxa" w:w="645"/>
            <w:tcBorders>
              <w:top w:val="nil"/>
              <w:left w:val="nil"/>
              <w:bottom w:val="single" w:sz="6" w:color="000000"/>
              <w:right w:val="none"/>
            </w:tcBorders>
            <w:vAlign w:val="center"/>
          </w:tcPr>
          <w:p>
            <w:pPr>
              <w:wordWrap w:val="off"/>
              <w:spacing w:lineRule="exact" w:line="378"/>
              <w:jc w:val="center"/>
            </w:pPr>
            <w:r>
              <w:rPr>
                <w:rFonts w:ascii="SimSun" w:hAnsi="SimSun" w:cs="SimSun" w:eastAsia="SimSun"/>
                <w:color w:val="000000"/>
                <w:sz w:val="21"/>
              </w:rPr>
              <w:t>米</w:t>
            </w:r>
          </w:p>
        </w:tc>
      </w:tr>
      <w:tr>
        <w:trPr>
          <w:trHeight w:val="300"/>
        </w:trPr>
        <w:tc>
          <w:tcPr>
            <w:tcW w:type="dxa" w:w="600"/>
            <w:tcBorders>
              <w:top w:val="nil"/>
              <w:left w:val="none" w:sz="6" w:color="000000"/>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3</w:t>
            </w:r>
          </w:p>
        </w:tc>
        <w:tc>
          <w:tcPr>
            <w:tcW w:type="dxa" w:w="1275"/>
            <w:tcBorders>
              <w:top w:val="nil"/>
              <w:left w:val="nil"/>
              <w:bottom w:val="single" w:sz="6" w:color="000000"/>
              <w:right w:val="single" w:sz="6" w:color="000000"/>
            </w:tcBorders>
            <w:vAlign w:val="center"/>
          </w:tcPr>
          <w:p>
            <w:pPr>
              <w:wordWrap w:val="off"/>
              <w:jc w:val="left"/>
            </w:pPr>
            <w:r>
              <w:rPr>
                <w:rFonts w:ascii="SimSun" w:hAnsi="SimSun" w:cs="SimSun" w:eastAsia="SimSun"/>
                <w:color w:val="000000"/>
                <w:sz w:val="21"/>
              </w:rPr>
              <w:t>双开防火门</w:t>
            </w:r>
          </w:p>
        </w:tc>
        <w:tc>
          <w:tcPr>
            <w:tcW w:type="dxa" w:w="6360"/>
            <w:tcBorders>
              <w:top w:val="nil"/>
              <w:left w:val="nil"/>
              <w:bottom w:val="single" w:sz="6" w:color="000000"/>
              <w:right w:val="single" w:sz="6" w:color="000000"/>
            </w:tcBorders>
            <w:vAlign w:val="center"/>
          </w:tcPr>
          <w:p>
            <w:pPr>
              <w:wordWrap w:val="off"/>
              <w:spacing w:lineRule="exact" w:line="378"/>
              <w:jc w:val="left"/>
            </w:pPr>
            <w:r>
              <w:rPr>
                <w:rFonts w:ascii="SimSun" w:hAnsi="SimSun" w:cs="SimSun" w:eastAsia="SimSun"/>
                <w:color w:val="000000"/>
                <w:sz w:val="21"/>
              </w:rPr>
              <w:t>参数标准：高2700mm，宽1780mm,厚70mm。门扇外防护钢板面板厚0.77mm,门框钢板板面厚1.8MM。</w:t>
            </w:r>
          </w:p>
          <w:p>
            <w:pPr>
              <w:wordWrap w:val="off"/>
              <w:spacing w:lineRule="exact" w:line="378"/>
              <w:jc w:val="left"/>
            </w:pPr>
            <w:r>
              <w:rPr>
                <w:rFonts w:ascii="SimSun" w:hAnsi="SimSun" w:cs="SimSun" w:eastAsia="SimSun"/>
                <w:color w:val="000000"/>
                <w:sz w:val="21"/>
              </w:rPr>
              <w:t>颜色：灰白色。开向：外包外右。</w:t>
            </w:r>
          </w:p>
          <w:p>
            <w:pPr>
              <w:wordWrap w:val="off"/>
              <w:spacing w:lineRule="exact" w:line="378"/>
              <w:jc w:val="left"/>
            </w:pPr>
            <w:r>
              <w:rPr>
                <w:rFonts w:ascii="SimSun" w:hAnsi="SimSun" w:cs="SimSun" w:eastAsia="SimSun"/>
                <w:color w:val="000000"/>
                <w:sz w:val="21"/>
              </w:rPr>
              <w:t>锁体：防爆锁体，防护等级A级。</w:t>
            </w:r>
          </w:p>
          <w:p>
            <w:pPr>
              <w:wordWrap w:val="off"/>
              <w:spacing w:lineRule="exact" w:line="378"/>
              <w:jc w:val="left"/>
            </w:pPr>
            <w:r>
              <w:rPr>
                <w:rFonts w:ascii="SimSun" w:hAnsi="SimSun" w:cs="SimSun" w:eastAsia="SimSun"/>
                <w:color w:val="000000"/>
                <w:sz w:val="21"/>
              </w:rPr>
              <w:t>出具检测报告（明确数值≥参数标准）：包含以上参数。</w:t>
            </w:r>
          </w:p>
          <w:p>
            <w:pPr>
              <w:wordWrap w:val="off"/>
              <w:spacing w:lineRule="exact" w:line="378"/>
              <w:jc w:val="left"/>
            </w:pPr>
            <w:r>
              <w:rPr>
                <w:rFonts w:ascii="SimSun" w:hAnsi="SimSun" w:cs="SimSun" w:eastAsia="SimSun"/>
                <w:color w:val="000000"/>
                <w:sz w:val="21"/>
              </w:rPr>
              <w:t>铰链材质，灵活性，抗冲击性符合国家标准。</w:t>
            </w:r>
          </w:p>
        </w:tc>
        <w:tc>
          <w:tcPr>
            <w:tcW w:type="dxa" w:w="70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6</w:t>
            </w:r>
          </w:p>
        </w:tc>
        <w:tc>
          <w:tcPr>
            <w:tcW w:type="dxa" w:w="645"/>
            <w:tcBorders>
              <w:top w:val="nil"/>
              <w:left w:val="nil"/>
              <w:bottom w:val="single" w:sz="6" w:color="000000"/>
              <w:right w:val="none"/>
            </w:tcBorders>
            <w:vAlign w:val="center"/>
          </w:tcPr>
          <w:p>
            <w:pPr>
              <w:wordWrap w:val="off"/>
              <w:spacing w:lineRule="exact" w:line="378"/>
              <w:jc w:val="center"/>
            </w:pPr>
            <w:r>
              <w:rPr>
                <w:rFonts w:ascii="SimSun" w:hAnsi="SimSun" w:cs="SimSun" w:eastAsia="SimSun"/>
                <w:color w:val="000000"/>
                <w:sz w:val="21"/>
              </w:rPr>
              <w:t>樘</w:t>
            </w:r>
          </w:p>
        </w:tc>
      </w:tr>
      <w:tr>
        <w:trPr>
          <w:trHeight w:val="300"/>
        </w:trPr>
        <w:tc>
          <w:tcPr>
            <w:tcW w:type="dxa" w:w="600"/>
            <w:tcBorders>
              <w:top w:val="nil"/>
              <w:left w:val="none" w:sz="6" w:color="000000"/>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4</w:t>
            </w:r>
          </w:p>
        </w:tc>
        <w:tc>
          <w:tcPr>
            <w:tcW w:type="dxa" w:w="1275"/>
            <w:tcBorders>
              <w:top w:val="nil"/>
              <w:left w:val="nil"/>
              <w:bottom w:val="single" w:sz="6" w:color="000000"/>
              <w:right w:val="single" w:sz="6" w:color="000000"/>
            </w:tcBorders>
            <w:vAlign w:val="center"/>
          </w:tcPr>
          <w:p>
            <w:pPr>
              <w:wordWrap w:val="off"/>
              <w:jc w:val="left"/>
            </w:pPr>
            <w:r>
              <w:rPr>
                <w:rFonts w:ascii="SimSun" w:hAnsi="SimSun" w:cs="SimSun" w:eastAsia="SimSun"/>
                <w:color w:val="000000"/>
                <w:sz w:val="21"/>
              </w:rPr>
              <w:t>椅子(包含原座椅拆除、保洁、垃圾清理)</w:t>
            </w:r>
          </w:p>
        </w:tc>
        <w:tc>
          <w:tcPr>
            <w:tcW w:type="dxa" w:w="6360"/>
            <w:tcBorders>
              <w:top w:val="nil"/>
              <w:left w:val="nil"/>
              <w:bottom w:val="single" w:sz="6" w:color="000000"/>
              <w:right w:val="single" w:sz="6" w:color="000000"/>
            </w:tcBorders>
            <w:vAlign w:val="center"/>
          </w:tcPr>
          <w:p>
            <w:pPr>
              <w:wordWrap w:val="off"/>
              <w:spacing w:lineRule="exact" w:line="378"/>
              <w:jc w:val="left"/>
            </w:pPr>
            <w:r>
              <w:rPr>
                <w:rFonts w:ascii="SimSun" w:hAnsi="SimSun" w:cs="SimSun" w:eastAsia="SimSun"/>
                <w:b w:val="true"/>
                <w:color w:val="000000"/>
                <w:sz w:val="21"/>
              </w:rPr>
              <w:t>主要规格：</w:t>
            </w:r>
          </w:p>
          <w:p>
            <w:pPr>
              <w:wordWrap w:val="off"/>
              <w:spacing w:lineRule="exact" w:line="378"/>
              <w:jc w:val="left"/>
            </w:pPr>
            <w:r>
              <w:rPr>
                <w:rFonts w:ascii="SimSun" w:hAnsi="SimSun" w:cs="SimSun" w:eastAsia="SimSun"/>
                <w:color w:val="000000"/>
                <w:sz w:val="21"/>
              </w:rPr>
              <w:t>座宽（扶手中对中）：570mm，座椅总高：1020±10mm，座高：450±10mm。</w:t>
            </w:r>
          </w:p>
          <w:p>
            <w:pPr>
              <w:wordWrap w:val="off"/>
              <w:spacing w:lineRule="exact" w:line="378"/>
              <w:jc w:val="left"/>
            </w:pPr>
            <w:r>
              <w:rPr>
                <w:rFonts w:ascii="SimSun" w:hAnsi="SimSun" w:cs="SimSun" w:eastAsia="SimSun"/>
                <w:color w:val="000000"/>
                <w:sz w:val="21"/>
              </w:rPr>
              <w:t>座椅深度：840±10mm，扶手高600±10mm：最小排距：900mm。</w:t>
            </w:r>
          </w:p>
          <w:p>
            <w:pPr>
              <w:wordWrap w:val="off"/>
              <w:spacing w:lineRule="exact" w:line="378"/>
              <w:ind w:firstLineChars="100"/>
              <w:jc w:val="left"/>
            </w:pPr>
            <w:r>
              <w:rPr>
                <w:rFonts w:ascii="宋体" w:hAnsi="宋体" w:cs="宋体" w:eastAsia="宋体"/>
                <w:color w:val="000000"/>
                <w:sz w:val="21"/>
              </w:rPr>
              <w:t/>
            </w:r>
            <w:r>
              <w:rPr>
                <w:rFonts w:ascii="SimSun" w:hAnsi="SimSun" w:cs="SimSun" w:eastAsia="SimSun"/>
                <w:color w:val="000000"/>
                <w:sz w:val="21"/>
              </w:rPr>
              <w:t>写字板尺寸规格：长度为210±2mm，宽度为260±2 mm，厚度为15mm。</w:t>
            </w:r>
          </w:p>
          <w:p>
            <w:pPr>
              <w:wordWrap w:val="off"/>
              <w:spacing w:lineRule="exact" w:line="378"/>
              <w:jc w:val="left"/>
            </w:pPr>
            <w:r>
              <w:rPr>
                <w:rFonts w:ascii="SimSun" w:hAnsi="SimSun" w:cs="SimSun" w:eastAsia="SimSun"/>
                <w:b w:val="true"/>
                <w:color w:val="000000"/>
                <w:sz w:val="21"/>
              </w:rPr>
              <w:t>整体设计要求：</w:t>
            </w:r>
          </w:p>
          <w:p>
            <w:pPr>
              <w:wordWrap w:val="off"/>
              <w:spacing w:lineRule="exact" w:line="378"/>
              <w:jc w:val="left"/>
            </w:pPr>
            <w:r>
              <w:rPr>
                <w:rFonts w:ascii="SimSun" w:hAnsi="SimSun" w:cs="SimSun" w:eastAsia="SimSun"/>
                <w:color w:val="000000"/>
                <w:sz w:val="21"/>
              </w:rPr>
              <w:t>软体沙发类会议专用高级座椅，钢塑结构，中等高度背靠；</w:t>
            </w:r>
          </w:p>
          <w:p>
            <w:pPr>
              <w:wordWrap w:val="off"/>
              <w:spacing w:lineRule="exact" w:line="378"/>
              <w:jc w:val="left"/>
            </w:pPr>
            <w:r>
              <w:rPr>
                <w:rFonts w:ascii="SimSun" w:hAnsi="SimSun" w:cs="SimSun" w:eastAsia="SimSun"/>
                <w:color w:val="000000"/>
                <w:sz w:val="21"/>
              </w:rPr>
              <w:t>两扶手站脚落地，用锚栓固定在地面上；也可加装活动脚安放；座椅符合人机工程学原理的的造型和结构设计；适用在专业的会议室、礼堂、多功能厅等场所；</w:t>
            </w:r>
          </w:p>
          <w:p>
            <w:pPr>
              <w:wordWrap w:val="off"/>
              <w:spacing w:lineRule="exact" w:line="351"/>
              <w:jc w:val="left"/>
            </w:pPr>
            <w:r>
              <w:rPr>
                <w:rFonts w:ascii="SimSun" w:hAnsi="SimSun" w:cs="SimSun" w:eastAsia="SimSun"/>
                <w:b w:val="true"/>
                <w:color w:val="000000"/>
                <w:sz w:val="19"/>
              </w:rPr>
              <w:t>材质要求：</w:t>
            </w:r>
          </w:p>
          <w:p>
            <w:pPr>
              <w:wordWrap w:val="off"/>
              <w:spacing w:lineRule="exact" w:line="378"/>
              <w:jc w:val="left"/>
            </w:pPr>
            <w:r>
              <w:rPr>
                <w:rFonts w:ascii="SimSun" w:hAnsi="SimSun" w:cs="SimSun" w:eastAsia="SimSun"/>
                <w:color w:val="000000"/>
                <w:sz w:val="21"/>
              </w:rPr>
              <w:t>座、背包为软体海绵结构，外包软质纺织面料，座、背包油漆外板装饰；</w:t>
            </w:r>
          </w:p>
          <w:p>
            <w:pPr>
              <w:wordWrap w:val="off"/>
              <w:spacing w:lineRule="exact" w:line="378"/>
              <w:jc w:val="left"/>
            </w:pPr>
            <w:r>
              <w:rPr>
                <w:rFonts w:ascii="SimSun" w:hAnsi="SimSun" w:cs="SimSun" w:eastAsia="SimSun"/>
                <w:color w:val="000000"/>
                <w:sz w:val="21"/>
              </w:rPr>
              <w:t>★座包采用阻尼，碰撞部位增加橡胶垫防撞降噪，打开无噪音，无冲击性撞击；</w:t>
            </w:r>
          </w:p>
          <w:p>
            <w:pPr>
              <w:wordWrap w:val="off"/>
              <w:spacing w:lineRule="exact" w:line="378"/>
              <w:jc w:val="left"/>
            </w:pPr>
            <w:r>
              <w:rPr>
                <w:rFonts w:ascii="SimSun" w:hAnsi="SimSun" w:cs="SimSun" w:eastAsia="SimSun"/>
                <w:color w:val="000000"/>
                <w:sz w:val="21"/>
              </w:rPr>
              <w:t>金属结构件采用加厚喷塑表面处理，色彩稳重、质感淳厚。</w:t>
            </w:r>
            <w:r>
              <w:rPr>
                <w:rFonts w:ascii="SimSun" w:hAnsi="SimSun" w:cs="SimSun" w:eastAsia="SimSun"/>
                <w:b w:val="true"/>
                <w:color w:val="000000"/>
                <w:sz w:val="21"/>
              </w:rPr>
              <w:t>椅背</w:t>
            </w:r>
          </w:p>
          <w:p>
            <w:pPr>
              <w:wordWrap w:val="off"/>
              <w:spacing w:lineRule="exact" w:line="378"/>
              <w:ind w:firstLineChars="100"/>
              <w:jc w:val="left"/>
            </w:pPr>
            <w:r>
              <w:rPr>
                <w:rFonts w:ascii="宋体" w:hAnsi="宋体" w:cs="宋体" w:eastAsia="宋体"/>
                <w:color w:val="000000"/>
                <w:sz w:val="21"/>
              </w:rPr>
              <w:t/>
            </w:r>
            <w:r>
              <w:rPr>
                <w:rFonts w:ascii="SimSun" w:hAnsi="SimSun" w:cs="SimSun" w:eastAsia="SimSun"/>
                <w:color w:val="000000"/>
                <w:sz w:val="21"/>
              </w:rPr>
              <w:t>背海绵：采用高密度冷发泡PU定型海绵,海棉密度为45-55KG/M3。</w:t>
            </w:r>
          </w:p>
          <w:p>
            <w:pPr>
              <w:wordWrap w:val="off"/>
              <w:spacing w:lineRule="exact" w:line="378"/>
              <w:jc w:val="left"/>
            </w:pPr>
            <w:r>
              <w:rPr>
                <w:rFonts w:ascii="SimSun" w:hAnsi="SimSun" w:cs="SimSun" w:eastAsia="SimSun"/>
                <w:color w:val="000000"/>
                <w:sz w:val="21"/>
              </w:rPr>
              <w:t>背内板：采用优质夹板经模具压弯成型。外型成弧型，美观大方，具有曲线美。</w:t>
            </w:r>
          </w:p>
          <w:p>
            <w:pPr>
              <w:wordWrap w:val="off"/>
              <w:spacing w:lineRule="exact" w:line="378"/>
              <w:jc w:val="left"/>
            </w:pPr>
            <w:r>
              <w:rPr>
                <w:rFonts w:ascii="SimSun" w:hAnsi="SimSun" w:cs="SimSun" w:eastAsia="SimSun"/>
                <w:color w:val="000000"/>
                <w:sz w:val="21"/>
              </w:rPr>
              <w:t>背外板：采用优质高密度硬木多层板，经模具冷压注成型，不褪色，抗变型。</w:t>
            </w:r>
          </w:p>
          <w:p>
            <w:pPr>
              <w:wordWrap w:val="off"/>
              <w:spacing w:lineRule="exact" w:line="378"/>
              <w:jc w:val="left"/>
            </w:pPr>
            <w:r>
              <w:rPr>
                <w:rFonts w:ascii="SimSun" w:hAnsi="SimSun" w:cs="SimSun" w:eastAsia="SimSun"/>
                <w:b w:val="true"/>
                <w:color w:val="000000"/>
                <w:sz w:val="21"/>
              </w:rPr>
              <w:t>椅座</w:t>
            </w:r>
          </w:p>
          <w:p>
            <w:pPr>
              <w:wordWrap w:val="off"/>
              <w:spacing w:lineRule="exact" w:line="378"/>
              <w:jc w:val="left"/>
            </w:pPr>
            <w:r>
              <w:rPr>
                <w:rFonts w:ascii="SimSun" w:hAnsi="SimSun" w:cs="SimSun" w:eastAsia="SimSun"/>
                <w:color w:val="000000"/>
                <w:sz w:val="21"/>
              </w:rPr>
              <w:t>★座海绵：采用高密度冷发泡PU定型海棉，海棉密度为45-55KG/M3。</w:t>
            </w:r>
          </w:p>
          <w:p>
            <w:pPr>
              <w:wordWrap w:val="off"/>
              <w:spacing w:lineRule="exact" w:line="378"/>
              <w:jc w:val="left"/>
            </w:pPr>
            <w:r>
              <w:rPr>
                <w:rFonts w:ascii="SimSun" w:hAnsi="SimSun" w:cs="SimSun" w:eastAsia="SimSun"/>
                <w:color w:val="000000"/>
                <w:sz w:val="21"/>
              </w:rPr>
              <w:t>座外板：采用优质高密度硬木多层板经模具压注成型。</w:t>
            </w:r>
          </w:p>
          <w:p>
            <w:pPr>
              <w:wordWrap w:val="off"/>
              <w:spacing w:lineRule="exact" w:line="378"/>
              <w:jc w:val="left"/>
            </w:pPr>
            <w:r>
              <w:rPr>
                <w:rFonts w:ascii="SimSun" w:hAnsi="SimSun" w:cs="SimSun" w:eastAsia="SimSun"/>
                <w:color w:val="000000"/>
                <w:sz w:val="21"/>
              </w:rPr>
              <w:t>座铁框：采用优质钢板经冲压焊接成型，海绵接触面焊接5条S形蛇簧，保证椅座舒适有弹性。</w:t>
            </w:r>
          </w:p>
          <w:p>
            <w:pPr>
              <w:wordWrap w:val="off"/>
              <w:spacing w:lineRule="exact" w:line="378"/>
              <w:jc w:val="left"/>
            </w:pPr>
            <w:r>
              <w:rPr>
                <w:rFonts w:ascii="SimSun" w:hAnsi="SimSun" w:cs="SimSun" w:eastAsia="SimSun"/>
                <w:color w:val="000000"/>
                <w:sz w:val="21"/>
              </w:rPr>
              <w:t>★脚架： 扶手框架采用优质T1.5mm热轧板，底脚板采用1.5mm优质热轧板冲压成型，优质热轧板经二氧化碳焊接成型。</w:t>
            </w:r>
          </w:p>
          <w:p>
            <w:pPr>
              <w:wordWrap w:val="off"/>
              <w:spacing w:lineRule="exact" w:line="378"/>
              <w:jc w:val="left"/>
            </w:pPr>
            <w:r>
              <w:rPr>
                <w:rFonts w:ascii="SimSun" w:hAnsi="SimSun" w:cs="SimSun" w:eastAsia="SimSun"/>
                <w:color w:val="000000"/>
                <w:sz w:val="21"/>
              </w:rPr>
              <w:t>★写字板 采用16mm 直径实心圆钢支撑结构，面板采用高密度中纤板，外压三胺板。</w:t>
            </w:r>
          </w:p>
          <w:p>
            <w:pPr>
              <w:wordWrap w:val="off"/>
              <w:spacing w:lineRule="exact" w:line="378"/>
              <w:jc w:val="left"/>
            </w:pPr>
            <w:r>
              <w:rPr>
                <w:rFonts w:ascii="SimSun" w:hAnsi="SimSun" w:cs="SimSun" w:eastAsia="SimSun"/>
                <w:color w:val="000000"/>
                <w:sz w:val="21"/>
              </w:rPr>
              <w:t>★面料 座背面料采用高级专用布料，抗污，防褪色。</w:t>
            </w:r>
          </w:p>
          <w:p>
            <w:pPr>
              <w:wordWrap w:val="off"/>
              <w:spacing w:lineRule="exact" w:line="378"/>
              <w:jc w:val="left"/>
            </w:pPr>
            <w:r>
              <w:rPr>
                <w:rFonts w:ascii="SimSun" w:hAnsi="SimSun" w:cs="SimSun" w:eastAsia="SimSun"/>
                <w:color w:val="000000"/>
                <w:sz w:val="21"/>
              </w:rPr>
              <w:t>一、需拥有以下证书：</w:t>
            </w:r>
          </w:p>
          <w:p>
            <w:pPr>
              <w:wordWrap w:val="off"/>
              <w:spacing w:lineRule="exact" w:line="378"/>
              <w:jc w:val="left"/>
            </w:pPr>
            <w:r>
              <w:rPr>
                <w:rFonts w:ascii="SimSun" w:hAnsi="SimSun" w:cs="SimSun" w:eastAsia="SimSun"/>
                <w:color w:val="000000"/>
                <w:sz w:val="21"/>
              </w:rPr>
              <w:t>1、</w:t>
            </w:r>
            <w:r>
              <w:rPr>
                <w:rFonts w:ascii="SimSun" w:hAnsi="SimSun" w:cs="SimSun" w:eastAsia="SimSun"/>
                <w:color w:val="000000"/>
                <w:sz w:val="21"/>
                <w:highlight w:val="yellow"/>
              </w:rPr>
              <w:t>通过国家计量认证（CMA资质）的第三方检测机构抽样检测报告（</w:t>
            </w:r>
            <w:r>
              <w:rPr>
                <w:rFonts w:ascii="SimSun" w:hAnsi="SimSun" w:cs="SimSun" w:eastAsia="SimSun"/>
                <w:color w:val="000000"/>
                <w:sz w:val="21"/>
              </w:rPr>
              <w:t>1、钢板：依据QB/T 1951.2-2013《金属家具 质量检验及质量评定》、GB/T 3325-2024 《金属家具通用技术条件》：金属喷漆（塑）涂层硬度≥H，附着力不低于2级；</w:t>
            </w:r>
          </w:p>
          <w:p>
            <w:pPr>
              <w:wordWrap w:val="off"/>
              <w:spacing w:lineRule="exact" w:line="378"/>
              <w:jc w:val="left"/>
            </w:pPr>
            <w:r>
              <w:rPr>
                <w:rFonts w:ascii="SimSun" w:hAnsi="SimSun" w:cs="SimSun" w:eastAsia="SimSun"/>
                <w:color w:val="000000"/>
                <w:sz w:val="21"/>
              </w:rPr>
              <w:t>2、海绵：依据GB/T 10802-2023《通用软质聚氨酯泡沫塑料》、QB/T 1952.1-2023《软体家具 沙发》：回弹率≥55%，座面表观密度≥62, 其他部位密度≥62；依据GB/T 21510-2008《纳米无机材料抗菌性能检测方法》: 海棉具有抗菌性(大肠杆菌平均抗菌率≥99.9%，金黄色葡萄球菌平均抗菌率≥90.5%，铜绿假单胞菌平均抗菌率≥94.7%);</w:t>
            </w:r>
          </w:p>
          <w:p>
            <w:pPr>
              <w:wordWrap w:val="off"/>
              <w:spacing w:lineRule="exact" w:line="378"/>
              <w:jc w:val="left"/>
            </w:pPr>
            <w:r>
              <w:rPr>
                <w:rFonts w:ascii="SimSun" w:hAnsi="SimSun" w:cs="SimSun" w:eastAsia="SimSun"/>
                <w:color w:val="000000"/>
                <w:sz w:val="21"/>
              </w:rPr>
              <w:t>3、胶合板：依据 GB/T 9846-2015《普通胶合板》：甲醛释放量≤0.045mg/m³；</w:t>
            </w:r>
          </w:p>
          <w:p>
            <w:pPr>
              <w:wordWrap w:val="off"/>
              <w:spacing w:lineRule="exact" w:line="378"/>
              <w:jc w:val="left"/>
            </w:pPr>
            <w:r>
              <w:rPr>
                <w:rFonts w:ascii="SimSun" w:hAnsi="SimSun" w:cs="SimSun" w:eastAsia="SimSun"/>
                <w:color w:val="000000"/>
                <w:sz w:val="21"/>
              </w:rPr>
              <w:t>4、胶水：依据 GB 18583-2008《室内装饰装修材料 胶粘剂中有害物质限量》：游离甲醛/(g/kg)、苯/(g/kg)、甲苯+二甲苯/(g/kg)、二氯甲烷/(g/kg)、卤代烃总量(1,2-二氯 乙烷、1,1,2-三氯乙烷 三氯乙烯)/(g/kg)均未检出，总挥发性有机物≤347g/L；</w:t>
            </w:r>
          </w:p>
          <w:p>
            <w:pPr>
              <w:wordWrap w:val="off"/>
              <w:spacing w:lineRule="exact" w:line="378"/>
              <w:jc w:val="left"/>
            </w:pPr>
            <w:r>
              <w:rPr>
                <w:rFonts w:ascii="SimSun" w:hAnsi="SimSun" w:cs="SimSun" w:eastAsia="SimSun"/>
                <w:color w:val="000000"/>
                <w:sz w:val="21"/>
              </w:rPr>
              <w:t>5、整椅：依据QB/T 2602-2013《影剧院公共座椅》：甲醛释放量≤0.02mg/m²h；</w:t>
            </w:r>
          </w:p>
          <w:p>
            <w:pPr>
              <w:wordWrap w:val="off"/>
              <w:spacing w:lineRule="exact" w:line="378"/>
              <w:jc w:val="left"/>
            </w:pPr>
            <w:r>
              <w:rPr>
                <w:rFonts w:ascii="SimSun" w:hAnsi="SimSun" w:cs="SimSun" w:eastAsia="SimSun"/>
                <w:color w:val="000000"/>
                <w:sz w:val="21"/>
              </w:rPr>
              <w:t>6、面料：依据GB 18401-2010《国家纺织产品基本安全技术规范》：</w:t>
            </w:r>
          </w:p>
          <w:p>
            <w:pPr>
              <w:wordWrap w:val="off"/>
              <w:spacing w:lineRule="exact" w:line="378"/>
              <w:jc w:val="left"/>
            </w:pPr>
            <w:r>
              <w:rPr>
                <w:rFonts w:ascii="SimSun" w:hAnsi="SimSun" w:cs="SimSun" w:eastAsia="SimSun"/>
                <w:color w:val="000000"/>
                <w:sz w:val="21"/>
              </w:rPr>
              <w:t>甲醛含量未检出，pH 值4.0~7.5 ，耐干摩擦4级，可分解致癌芳香胺染料未检出；</w:t>
            </w:r>
          </w:p>
          <w:p>
            <w:pPr>
              <w:wordWrap w:val="off"/>
              <w:spacing w:lineRule="exact" w:line="378"/>
              <w:jc w:val="left"/>
            </w:pPr>
            <w:r>
              <w:rPr>
                <w:rFonts w:ascii="SimSun" w:hAnsi="SimSun" w:cs="SimSun" w:eastAsia="SimSun"/>
                <w:color w:val="000000"/>
                <w:sz w:val="21"/>
              </w:rPr>
              <w:t>7、油漆件：依据QB/T 1951.1-2010《木家具 质量检验及质量评定》：漆膜附着力（2mm 划格法）达到A级、耐磨性（1000 转）达到C级、抗冲击（冲击高度 50mm）性达到B级、耐香烟灼烧符合无脱落黑斑、裂纹、鼓泡现象。），同时海棉具有抗菌性（大肠杆菌平均抗菌率≥99％，金黄色葡萄球菌平均抗菌率≥90％，铜绿假单胞菌平均抗菌率≥94％）；报告需有明确字样满足数值。</w:t>
            </w:r>
          </w:p>
          <w:p>
            <w:pPr>
              <w:wordWrap w:val="off"/>
              <w:spacing w:lineRule="exact" w:line="378"/>
              <w:jc w:val="left"/>
            </w:pPr>
            <w:r>
              <w:rPr>
                <w:rFonts w:ascii="SimSun" w:hAnsi="SimSun" w:cs="SimSun" w:eastAsia="SimSun"/>
                <w:color w:val="000000"/>
                <w:sz w:val="21"/>
              </w:rPr>
              <w:t>2、声学性能检测报告（提供5排×4座 20座，排距1000mm，空椅的声学检测报告）符合国标。声学性能检测：依据GB/T 20247-2006/ISO354：2003《声学 混响室吸声测量》：检测（5排×4座=20座，排距1000mm，空椅）的吸声系数以及吸音量，检测结果符合国家标准。</w:t>
            </w:r>
          </w:p>
          <w:p>
            <w:pPr>
              <w:wordWrap w:val="off"/>
              <w:spacing w:lineRule="exact" w:line="378"/>
              <w:jc w:val="left"/>
            </w:pPr>
            <w:r>
              <w:rPr>
                <w:rFonts w:ascii="SimSun" w:hAnsi="SimSun" w:cs="SimSun" w:eastAsia="SimSun"/>
                <w:color w:val="000000"/>
                <w:sz w:val="21"/>
              </w:rPr>
              <w:t>二、制造商需拥有以下生产设备：</w:t>
            </w:r>
          </w:p>
          <w:p>
            <w:pPr>
              <w:wordWrap w:val="off"/>
              <w:spacing w:lineRule="exact" w:line="378"/>
              <w:jc w:val="left"/>
            </w:pPr>
            <w:r>
              <w:rPr>
                <w:rFonts w:ascii="SimSun" w:hAnsi="SimSun" w:cs="SimSun" w:eastAsia="SimSun"/>
                <w:color w:val="000000"/>
                <w:sz w:val="21"/>
              </w:rPr>
              <w:t>1、海绵发泡设备，2、油漆废气处理设备，3、激光焊接机，4、喷胶废气处理设备，5、数控光纤管材切割机，6、焊接机器人产线（以上设备需提供设备采购发票或者租赁合同）。</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70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400</w:t>
            </w:r>
          </w:p>
        </w:tc>
        <w:tc>
          <w:tcPr>
            <w:tcW w:type="dxa" w:w="645"/>
            <w:tcBorders>
              <w:top w:val="nil"/>
              <w:left w:val="nil"/>
              <w:bottom w:val="single" w:sz="6" w:color="000000"/>
              <w:right w:val="none"/>
            </w:tcBorders>
            <w:vAlign w:val="center"/>
          </w:tcPr>
          <w:p>
            <w:pPr>
              <w:wordWrap w:val="off"/>
              <w:spacing w:lineRule="exact" w:line="378"/>
              <w:jc w:val="center"/>
            </w:pPr>
            <w:r>
              <w:rPr>
                <w:rFonts w:ascii="SimSun" w:hAnsi="SimSun" w:cs="SimSun" w:eastAsia="SimSun"/>
                <w:color w:val="000000"/>
                <w:sz w:val="21"/>
              </w:rPr>
              <w:t>把</w:t>
            </w:r>
          </w:p>
        </w:tc>
      </w:tr>
      <w:tr>
        <w:trPr>
          <w:trHeight w:val="300"/>
        </w:trPr>
        <w:tc>
          <w:tcPr>
            <w:tcW w:type="dxa" w:w="600"/>
            <w:tcBorders>
              <w:top w:val="nil"/>
              <w:left w:val="none" w:sz="6" w:color="000000"/>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5</w:t>
            </w:r>
          </w:p>
        </w:tc>
        <w:tc>
          <w:tcPr>
            <w:tcW w:type="dxa" w:w="1275"/>
            <w:tcBorders>
              <w:top w:val="nil"/>
              <w:left w:val="nil"/>
              <w:bottom w:val="single" w:sz="6" w:color="000000"/>
              <w:right w:val="single" w:sz="6" w:color="000000"/>
            </w:tcBorders>
            <w:vAlign w:val="center"/>
          </w:tcPr>
          <w:p>
            <w:pPr>
              <w:wordWrap w:val="off"/>
              <w:jc w:val="left"/>
            </w:pPr>
            <w:r>
              <w:rPr>
                <w:rFonts w:ascii="SimSun" w:hAnsi="SimSun" w:cs="SimSun" w:eastAsia="SimSun"/>
                <w:color w:val="000000"/>
                <w:sz w:val="21"/>
              </w:rPr>
              <w:t>舞台音频模块（音频地盒、卡农线材料等）。网关，交换机</w:t>
            </w:r>
          </w:p>
        </w:tc>
        <w:tc>
          <w:tcPr>
            <w:tcW w:type="dxa" w:w="6360"/>
            <w:tcBorders>
              <w:top w:val="nil"/>
              <w:left w:val="nil"/>
              <w:bottom w:val="single" w:sz="6" w:color="000000"/>
              <w:right w:val="single" w:sz="6" w:color="000000"/>
            </w:tcBorders>
            <w:vAlign w:val="center"/>
          </w:tcPr>
          <w:p>
            <w:pPr>
              <w:wordWrap w:val="off"/>
              <w:spacing w:lineRule="exact" w:line="378"/>
              <w:jc w:val="left"/>
            </w:pPr>
            <w:r>
              <w:rPr>
                <w:rFonts w:ascii="SimSun" w:hAnsi="SimSun" w:cs="SimSun" w:eastAsia="SimSun"/>
                <w:b w:val="true"/>
                <w:color w:val="000000"/>
                <w:sz w:val="21"/>
              </w:rPr>
              <w:t>一：网关。</w:t>
            </w:r>
            <w:r>
              <w:rPr>
                <w:rFonts w:ascii="SimSun" w:hAnsi="SimSun" w:cs="SimSun" w:eastAsia="SimSun"/>
                <w:color w:val="000000"/>
                <w:sz w:val="21"/>
              </w:rPr>
              <w:t>用于原有设备，摄像头，拾音器网络与微格教室无缝衔接，音频视频流畅解码存储及信息安全。</w:t>
            </w:r>
          </w:p>
          <w:p>
            <w:pPr>
              <w:wordWrap w:val="off"/>
              <w:spacing w:lineRule="exact" w:line="378"/>
              <w:jc w:val="left"/>
            </w:pPr>
            <w:r>
              <w:rPr>
                <w:rFonts w:ascii="SimSun" w:hAnsi="SimSun" w:cs="SimSun" w:eastAsia="SimSun"/>
                <w:color w:val="000000"/>
                <w:sz w:val="21"/>
              </w:rPr>
              <w:t>【一】精细化的多维管控</w:t>
            </w:r>
          </w:p>
          <w:p>
            <w:pPr>
              <w:wordWrap w:val="off"/>
              <w:spacing w:lineRule="exact" w:line="378"/>
              <w:jc w:val="left"/>
            </w:pPr>
            <w:r>
              <w:rPr>
                <w:rFonts w:ascii="SimSun" w:hAnsi="SimSun" w:cs="SimSun" w:eastAsia="SimSun"/>
                <w:color w:val="000000"/>
                <w:sz w:val="21"/>
              </w:rPr>
              <w:t>（1）支持丰富的用户认证方式，包括TACACS+、RADIUS、LDAP 等外部服务器用户认证，以及本地认证、Web认证、802.1x认证等。</w:t>
            </w:r>
          </w:p>
          <w:p>
            <w:pPr>
              <w:wordWrap w:val="off"/>
              <w:spacing w:lineRule="exact" w:line="378"/>
              <w:jc w:val="left"/>
            </w:pPr>
            <w:r>
              <w:rPr>
                <w:rFonts w:ascii="SimSun" w:hAnsi="SimSun" w:cs="SimSun" w:eastAsia="SimSun"/>
                <w:color w:val="000000"/>
                <w:sz w:val="21"/>
              </w:rPr>
              <w:t>（2）支持针对用户实施精细化的访问控制、应用限制、带宽保证等管控手段。</w:t>
            </w:r>
          </w:p>
          <w:p>
            <w:pPr>
              <w:wordWrap w:val="off"/>
              <w:spacing w:lineRule="exact" w:line="378"/>
              <w:jc w:val="left"/>
            </w:pPr>
            <w:r>
              <w:rPr>
                <w:rFonts w:ascii="SimSun" w:hAnsi="SimSun" w:cs="SimSun" w:eastAsia="SimSun"/>
                <w:color w:val="000000"/>
                <w:sz w:val="21"/>
              </w:rPr>
              <w:t>（3）支持深度应用识别技术，可根据协议特征、行为特征及关联分析等准确识别数千种网络应用，为用户提供包括应用类别、应用风险等级、所用技术、应用特征分布等多维可视化信息。</w:t>
            </w:r>
          </w:p>
          <w:p>
            <w:pPr>
              <w:wordWrap w:val="off"/>
              <w:spacing w:lineRule="exact" w:line="378"/>
              <w:jc w:val="left"/>
            </w:pPr>
            <w:r>
              <w:rPr>
                <w:rFonts w:ascii="SimSun" w:hAnsi="SimSun" w:cs="SimSun" w:eastAsia="SimSun"/>
                <w:color w:val="000000"/>
                <w:sz w:val="21"/>
              </w:rPr>
              <w:t>（4）支持根据应用类型进行策略阻止、会话限制、流量管控、应用引流或时间限制等操作。</w:t>
            </w:r>
          </w:p>
          <w:p>
            <w:pPr>
              <w:wordWrap w:val="off"/>
              <w:spacing w:lineRule="exact" w:line="378"/>
              <w:jc w:val="left"/>
            </w:pPr>
            <w:r>
              <w:rPr>
                <w:rFonts w:ascii="SimSun" w:hAnsi="SimSun" w:cs="SimSun" w:eastAsia="SimSun"/>
                <w:color w:val="000000"/>
                <w:sz w:val="21"/>
              </w:rPr>
              <w:t>（5）支持针对SSL加密流量进行解密并对解密后的流量进行应用识别，支持对SSL解密流量开启安全防护功能，如IPS、AV、URL过滤、数据安全防护等功能。</w:t>
            </w:r>
          </w:p>
          <w:p>
            <w:pPr>
              <w:wordWrap w:val="off"/>
              <w:spacing w:lineRule="exact" w:line="378"/>
              <w:jc w:val="left"/>
            </w:pPr>
            <w:r>
              <w:rPr>
                <w:rFonts w:ascii="SimSun" w:hAnsi="SimSun" w:cs="SimSun" w:eastAsia="SimSun"/>
                <w:color w:val="000000"/>
                <w:sz w:val="21"/>
              </w:rPr>
              <w:t>（6）支持近百种主流文件类型的特征码及后缀名双重识别，并支持基于文件类型、文件大小、文件名称进行数据传输安全控制。</w:t>
            </w:r>
          </w:p>
          <w:p>
            <w:pPr>
              <w:wordWrap w:val="off"/>
              <w:spacing w:lineRule="exact" w:line="378"/>
              <w:jc w:val="left"/>
            </w:pPr>
            <w:r>
              <w:rPr>
                <w:rFonts w:ascii="SimSun" w:hAnsi="SimSun" w:cs="SimSun" w:eastAsia="SimSun"/>
                <w:color w:val="000000"/>
                <w:sz w:val="21"/>
              </w:rPr>
              <w:t>【二】协议识别与控制功能</w:t>
            </w:r>
          </w:p>
          <w:p>
            <w:pPr>
              <w:wordWrap w:val="off"/>
              <w:spacing w:lineRule="exact" w:line="378"/>
              <w:jc w:val="left"/>
            </w:pPr>
            <w:r>
              <w:rPr>
                <w:rFonts w:ascii="SimSun" w:hAnsi="SimSun" w:cs="SimSun" w:eastAsia="SimSun"/>
                <w:color w:val="000000"/>
                <w:sz w:val="21"/>
              </w:rPr>
              <w:t>（1）支持基于协议的访问控制，能够实现用户自定义安全策略，其控制条件可以是IP地址、端口、协议类型和时间的组合。</w:t>
            </w:r>
          </w:p>
          <w:p>
            <w:pPr>
              <w:wordWrap w:val="off"/>
              <w:spacing w:lineRule="exact" w:line="378"/>
              <w:jc w:val="left"/>
            </w:pPr>
            <w:r>
              <w:rPr>
                <w:rFonts w:ascii="SimSun" w:hAnsi="SimSun" w:cs="SimSun" w:eastAsia="SimSun"/>
                <w:color w:val="000000"/>
                <w:sz w:val="21"/>
              </w:rPr>
              <w:t>（2）★支持GB/T 28181协议准入、GB35114协议准入、支持RTSP协议准入、支持SIP协议准入、支持ONVIF协议准入、支持HIKSDK协议准入、支持DAHUASDK协议准入、支持SSH协议准入、支持GA/T1400协议准入控制（提供产品彩页或者功能截图证明材料）</w:t>
            </w:r>
          </w:p>
          <w:p>
            <w:pPr>
              <w:wordWrap w:val="off"/>
              <w:spacing w:lineRule="exact" w:line="378"/>
              <w:jc w:val="left"/>
            </w:pPr>
            <w:r>
              <w:rPr>
                <w:rFonts w:ascii="SimSun" w:hAnsi="SimSun" w:cs="SimSun" w:eastAsia="SimSun"/>
                <w:color w:val="000000"/>
                <w:sz w:val="21"/>
              </w:rPr>
              <w:t>（3）支持NAT扩展和端口复用，可实现NAT地址的单个端口上建立多条会话。</w:t>
            </w:r>
          </w:p>
          <w:p>
            <w:pPr>
              <w:wordWrap w:val="off"/>
              <w:spacing w:lineRule="exact" w:line="378"/>
              <w:jc w:val="left"/>
            </w:pPr>
            <w:r>
              <w:rPr>
                <w:rFonts w:ascii="SimSun" w:hAnsi="SimSun" w:cs="SimSun" w:eastAsia="SimSun"/>
                <w:color w:val="000000"/>
                <w:sz w:val="21"/>
              </w:rPr>
              <w:t>【三】全面的威胁检测与安全防护</w:t>
            </w:r>
          </w:p>
          <w:p>
            <w:pPr>
              <w:wordWrap w:val="off"/>
              <w:spacing w:lineRule="exact" w:line="378"/>
              <w:jc w:val="left"/>
            </w:pPr>
            <w:r>
              <w:rPr>
                <w:rFonts w:ascii="SimSun" w:hAnsi="SimSun" w:cs="SimSun" w:eastAsia="SimSun"/>
                <w:color w:val="000000"/>
                <w:sz w:val="21"/>
              </w:rPr>
              <w:t>（1）★支持外链检查防护，支持自定义外链特例防护动作，类型支持HTTP、HTTPS、FTP，支持记录日志或重置操作（提供产品彩页或者功能截图证明材料）</w:t>
            </w:r>
          </w:p>
          <w:p>
            <w:pPr>
              <w:wordWrap w:val="off"/>
              <w:spacing w:lineRule="exact" w:line="378"/>
              <w:jc w:val="left"/>
            </w:pPr>
            <w:r>
              <w:rPr>
                <w:rFonts w:ascii="SimSun" w:hAnsi="SimSun" w:cs="SimSun" w:eastAsia="SimSun"/>
                <w:color w:val="000000"/>
                <w:sz w:val="21"/>
              </w:rPr>
              <w:t>（2）支持NetFlow技术，支持配置主动超时时间、源接口、模板刷新时间、数据包数量、企业字段等信息，实现对高速转发的IP数据流进行测量和统计（提供产品彩页或者功能截图证明材料）</w:t>
            </w:r>
          </w:p>
          <w:p>
            <w:pPr>
              <w:wordWrap w:val="off"/>
              <w:spacing w:lineRule="exact" w:line="378"/>
              <w:jc w:val="left"/>
            </w:pPr>
            <w:r>
              <w:rPr>
                <w:rFonts w:ascii="SimSun" w:hAnsi="SimSun" w:cs="SimSun" w:eastAsia="SimSun"/>
                <w:color w:val="000000"/>
                <w:sz w:val="21"/>
              </w:rPr>
              <w:t>（3）具备百万级的病毒特征库规则列表，支持对RAR、ZIP、GZIP、BZIP2、TAR等压缩文件类型的病毒检测，并支持基于安全策略和安全域启用防病毒功能。</w:t>
            </w:r>
          </w:p>
          <w:p>
            <w:pPr>
              <w:wordWrap w:val="off"/>
              <w:spacing w:lineRule="exact" w:line="378"/>
              <w:jc w:val="left"/>
            </w:pPr>
            <w:r>
              <w:rPr>
                <w:rFonts w:ascii="SimSun" w:hAnsi="SimSun" w:cs="SimSun" w:eastAsia="SimSun"/>
                <w:color w:val="000000"/>
                <w:sz w:val="21"/>
              </w:rPr>
              <w:t>【四】丰富的VPN接入能力</w:t>
            </w:r>
          </w:p>
          <w:p>
            <w:pPr>
              <w:wordWrap w:val="off"/>
              <w:spacing w:lineRule="exact" w:line="378"/>
              <w:jc w:val="left"/>
            </w:pPr>
            <w:r>
              <w:rPr>
                <w:rFonts w:ascii="SimSun" w:hAnsi="SimSun" w:cs="SimSun" w:eastAsia="SimSun"/>
                <w:color w:val="000000"/>
                <w:sz w:val="21"/>
              </w:rPr>
              <w:t>（1）支持常见的主流VPN技术，包括IPSec VPN、SSL VPN、L2TP VPN、PnPVPN、拨号VPN、GRE over IPSec VPN等VPN接入方式。</w:t>
            </w:r>
          </w:p>
          <w:p>
            <w:pPr>
              <w:wordWrap w:val="off"/>
              <w:spacing w:lineRule="exact" w:line="378"/>
              <w:jc w:val="left"/>
            </w:pPr>
            <w:r>
              <w:rPr>
                <w:rFonts w:ascii="SimSun" w:hAnsi="SimSun" w:cs="SimSun" w:eastAsia="SimSun"/>
                <w:color w:val="000000"/>
                <w:sz w:val="21"/>
              </w:rPr>
              <w:t>（2）支持国家商用密码算法SM2/SM3/SM4。</w:t>
            </w:r>
          </w:p>
          <w:p>
            <w:pPr>
              <w:wordWrap w:val="off"/>
              <w:spacing w:lineRule="exact" w:line="378"/>
              <w:jc w:val="left"/>
            </w:pPr>
            <w:r>
              <w:rPr>
                <w:rFonts w:ascii="SimSun" w:hAnsi="SimSun" w:cs="SimSun" w:eastAsia="SimSun"/>
                <w:color w:val="000000"/>
                <w:sz w:val="21"/>
              </w:rPr>
              <w:t>【五】全面支持IPv6</w:t>
            </w:r>
          </w:p>
          <w:p>
            <w:pPr>
              <w:wordWrap w:val="off"/>
              <w:spacing w:lineRule="exact" w:line="378"/>
              <w:jc w:val="left"/>
            </w:pPr>
            <w:r>
              <w:rPr>
                <w:rFonts w:ascii="SimSun" w:hAnsi="SimSun" w:cs="SimSun" w:eastAsia="SimSun"/>
                <w:color w:val="000000"/>
                <w:sz w:val="21"/>
              </w:rPr>
              <w:t>（1）支持基于IPv6的访问控制、攻击防护、IPv6路由、应用识别与管控。</w:t>
            </w:r>
          </w:p>
          <w:p>
            <w:pPr>
              <w:wordWrap w:val="off"/>
              <w:spacing w:lineRule="exact" w:line="378"/>
              <w:jc w:val="left"/>
            </w:pPr>
            <w:r>
              <w:rPr>
                <w:rFonts w:ascii="SimSun" w:hAnsi="SimSun" w:cs="SimSun" w:eastAsia="SimSun"/>
                <w:color w:val="000000"/>
                <w:sz w:val="21"/>
              </w:rPr>
              <w:t>（2）支持隧道、DNS64/NAT64、IPv6 OVER IPv4 GRE隧道等多种过渡技术。</w:t>
            </w:r>
          </w:p>
          <w:p>
            <w:pPr>
              <w:wordWrap w:val="off"/>
              <w:spacing w:lineRule="exact" w:line="378"/>
              <w:jc w:val="left"/>
            </w:pPr>
            <w:r>
              <w:rPr>
                <w:rFonts w:ascii="SimSun" w:hAnsi="SimSun" w:cs="SimSun" w:eastAsia="SimSun"/>
                <w:color w:val="000000"/>
                <w:sz w:val="21"/>
              </w:rPr>
              <w:t>【六】智能链路选择及负载均衡技术</w:t>
            </w:r>
          </w:p>
          <w:p>
            <w:pPr>
              <w:wordWrap w:val="off"/>
              <w:spacing w:lineRule="exact" w:line="378"/>
              <w:jc w:val="left"/>
            </w:pPr>
            <w:r>
              <w:rPr>
                <w:rFonts w:ascii="SimSun" w:hAnsi="SimSun" w:cs="SimSun" w:eastAsia="SimSun"/>
                <w:color w:val="000000"/>
                <w:sz w:val="21"/>
              </w:rPr>
              <w:t>（1）支持动态探测链路响应速度并选择最优链路进行转发。</w:t>
            </w:r>
          </w:p>
          <w:p>
            <w:pPr>
              <w:wordWrap w:val="off"/>
              <w:spacing w:lineRule="exact" w:line="378"/>
              <w:jc w:val="left"/>
            </w:pPr>
            <w:r>
              <w:rPr>
                <w:rFonts w:ascii="SimSun" w:hAnsi="SimSun" w:cs="SimSun" w:eastAsia="SimSun"/>
                <w:color w:val="000000"/>
                <w:sz w:val="21"/>
              </w:rPr>
              <w:t>（2）支持基于应用协议的路由功能，根据应用类型进行路由选择，并支持在多个链路上实现负载分担。</w:t>
            </w:r>
          </w:p>
          <w:p>
            <w:pPr>
              <w:wordWrap w:val="off"/>
              <w:spacing w:lineRule="exact" w:line="378"/>
              <w:jc w:val="left"/>
            </w:pPr>
            <w:r>
              <w:rPr>
                <w:rFonts w:ascii="SimSun" w:hAnsi="SimSun" w:cs="SimSun" w:eastAsia="SimSun"/>
                <w:color w:val="000000"/>
                <w:sz w:val="21"/>
              </w:rPr>
              <w:t>【七】高可靠技术</w:t>
            </w:r>
          </w:p>
          <w:p>
            <w:pPr>
              <w:wordWrap w:val="off"/>
              <w:spacing w:lineRule="exact" w:line="378"/>
              <w:jc w:val="left"/>
            </w:pPr>
            <w:r>
              <w:rPr>
                <w:rFonts w:ascii="SimSun" w:hAnsi="SimSun" w:cs="SimSun" w:eastAsia="SimSun"/>
                <w:color w:val="000000"/>
                <w:sz w:val="21"/>
              </w:rPr>
              <w:t>（1）支持主-主和主-备模式，支持HA设备之间的会话自动同步。</w:t>
            </w:r>
          </w:p>
          <w:p>
            <w:pPr>
              <w:wordWrap w:val="off"/>
              <w:spacing w:lineRule="exact" w:line="378"/>
              <w:jc w:val="left"/>
            </w:pPr>
            <w:r>
              <w:rPr>
                <w:rFonts w:ascii="SimSun" w:hAnsi="SimSun" w:cs="SimSun" w:eastAsia="SimSun"/>
                <w:color w:val="000000"/>
                <w:sz w:val="21"/>
              </w:rPr>
              <w:t>（2）主备模式下支持基于设备优先级的主设备抢占功能。</w:t>
            </w:r>
          </w:p>
          <w:p>
            <w:pPr>
              <w:wordWrap w:val="off"/>
              <w:spacing w:lineRule="exact" w:line="351"/>
              <w:jc w:val="left"/>
            </w:pPr>
            <w:r>
              <w:rPr>
                <w:rFonts w:ascii="SimSun" w:hAnsi="SimSun" w:cs="SimSun" w:eastAsia="SimSun"/>
                <w:b w:val="true"/>
                <w:color w:val="000000"/>
                <w:sz w:val="19"/>
              </w:rPr>
              <w:t>具体参数：</w:t>
            </w:r>
          </w:p>
          <w:p>
            <w:pPr>
              <w:wordWrap w:val="off"/>
              <w:spacing w:lineRule="exact" w:line="378"/>
              <w:jc w:val="left"/>
            </w:pPr>
            <w:r>
              <w:rPr>
                <w:rFonts w:ascii="SimSun" w:hAnsi="SimSun" w:cs="SimSun" w:eastAsia="SimSun"/>
                <w:color w:val="000000"/>
                <w:sz w:val="21"/>
              </w:rPr>
              <w:t>最大网络层吞吐量：300Mbps</w:t>
            </w:r>
          </w:p>
          <w:p>
            <w:pPr>
              <w:wordWrap w:val="off"/>
              <w:spacing w:lineRule="exact" w:line="378"/>
              <w:jc w:val="left"/>
            </w:pPr>
            <w:r>
              <w:rPr>
                <w:rFonts w:ascii="SimSun" w:hAnsi="SimSun" w:cs="SimSun" w:eastAsia="SimSun"/>
                <w:color w:val="000000"/>
                <w:sz w:val="21"/>
              </w:rPr>
              <w:t>最大并发连接数：60万</w:t>
            </w:r>
          </w:p>
          <w:p>
            <w:pPr>
              <w:wordWrap w:val="off"/>
              <w:spacing w:lineRule="exact" w:line="378"/>
              <w:jc w:val="left"/>
            </w:pPr>
            <w:r>
              <w:rPr>
                <w:rFonts w:ascii="SimSun" w:hAnsi="SimSun" w:cs="SimSun" w:eastAsia="SimSun"/>
                <w:color w:val="000000"/>
                <w:sz w:val="21"/>
              </w:rPr>
              <w:t>每秒新建连接数(TCP)：1万</w:t>
            </w:r>
          </w:p>
          <w:p>
            <w:pPr>
              <w:wordWrap w:val="off"/>
              <w:spacing w:lineRule="exact" w:line="378"/>
              <w:jc w:val="left"/>
            </w:pPr>
            <w:r>
              <w:rPr>
                <w:rFonts w:ascii="SimSun" w:hAnsi="SimSun" w:cs="SimSun" w:eastAsia="SimSun"/>
                <w:color w:val="000000"/>
                <w:sz w:val="21"/>
              </w:rPr>
              <w:t>IPS吞吐量：250Mbps</w:t>
            </w:r>
          </w:p>
          <w:p>
            <w:pPr>
              <w:wordWrap w:val="off"/>
              <w:spacing w:lineRule="exact" w:line="378"/>
              <w:jc w:val="left"/>
            </w:pPr>
            <w:r>
              <w:rPr>
                <w:rFonts w:ascii="SimSun" w:hAnsi="SimSun" w:cs="SimSun" w:eastAsia="SimSun"/>
                <w:color w:val="000000"/>
                <w:sz w:val="21"/>
              </w:rPr>
              <w:t>AV吞吐量：200Mbps</w:t>
            </w:r>
          </w:p>
          <w:p>
            <w:pPr>
              <w:wordWrap w:val="off"/>
              <w:spacing w:lineRule="exact" w:line="378"/>
              <w:jc w:val="left"/>
            </w:pPr>
            <w:r>
              <w:rPr>
                <w:rFonts w:ascii="SimSun" w:hAnsi="SimSun" w:cs="SimSun" w:eastAsia="SimSun"/>
                <w:color w:val="000000"/>
                <w:sz w:val="21"/>
              </w:rPr>
              <w:t>IPSec VPN吞吐量：300Mbps</w:t>
            </w:r>
          </w:p>
          <w:p>
            <w:pPr>
              <w:wordWrap w:val="off"/>
              <w:spacing w:lineRule="exact" w:line="378"/>
              <w:jc w:val="left"/>
            </w:pPr>
            <w:r>
              <w:rPr>
                <w:rFonts w:ascii="SimSun" w:hAnsi="SimSun" w:cs="SimSun" w:eastAsia="SimSun"/>
                <w:color w:val="000000"/>
                <w:sz w:val="21"/>
              </w:rPr>
              <w:t>IPSec VPN隧道数：500</w:t>
            </w:r>
          </w:p>
          <w:p>
            <w:pPr>
              <w:wordWrap w:val="off"/>
              <w:spacing w:lineRule="exact" w:line="378"/>
              <w:jc w:val="left"/>
            </w:pPr>
            <w:r>
              <w:rPr>
                <w:rFonts w:ascii="SimSun" w:hAnsi="SimSun" w:cs="SimSun" w:eastAsia="SimSun"/>
                <w:color w:val="000000"/>
                <w:sz w:val="21"/>
              </w:rPr>
              <w:t>SSL用户数(标配/最大)：15/1000</w:t>
            </w:r>
          </w:p>
          <w:p>
            <w:pPr>
              <w:wordWrap w:val="off"/>
              <w:spacing w:lineRule="exact" w:line="378"/>
              <w:jc w:val="left"/>
            </w:pPr>
            <w:r>
              <w:rPr>
                <w:rFonts w:ascii="SimSun" w:hAnsi="SimSun" w:cs="SimSun" w:eastAsia="SimSun"/>
                <w:color w:val="000000"/>
                <w:sz w:val="21"/>
              </w:rPr>
              <w:t>网络接口：5个千兆电口+2个千兆光口</w:t>
            </w:r>
          </w:p>
          <w:p>
            <w:pPr>
              <w:wordWrap w:val="off"/>
              <w:spacing w:lineRule="exact" w:line="378"/>
              <w:jc w:val="left"/>
            </w:pPr>
            <w:r>
              <w:rPr>
                <w:rFonts w:ascii="SimSun" w:hAnsi="SimSun" w:cs="SimSun" w:eastAsia="SimSun"/>
                <w:color w:val="000000"/>
                <w:sz w:val="21"/>
              </w:rPr>
              <w:t>管理接口：1个CON口</w:t>
            </w:r>
          </w:p>
          <w:p>
            <w:pPr>
              <w:wordWrap w:val="off"/>
              <w:spacing w:lineRule="exact" w:line="378"/>
              <w:jc w:val="left"/>
            </w:pPr>
            <w:r>
              <w:rPr>
                <w:rFonts w:ascii="SimSun" w:hAnsi="SimSun" w:cs="SimSun" w:eastAsia="SimSun"/>
                <w:color w:val="000000"/>
                <w:sz w:val="21"/>
              </w:rPr>
              <w:t>USB接口：1个USB2.0口</w:t>
            </w:r>
          </w:p>
          <w:p>
            <w:pPr>
              <w:wordWrap w:val="off"/>
              <w:spacing w:lineRule="exact" w:line="378"/>
              <w:jc w:val="left"/>
            </w:pPr>
            <w:r>
              <w:rPr>
                <w:rFonts w:ascii="SimSun" w:hAnsi="SimSun" w:cs="SimSun" w:eastAsia="SimSun"/>
                <w:color w:val="000000"/>
                <w:sz w:val="21"/>
              </w:rPr>
              <w:t>内存：2G</w:t>
            </w:r>
          </w:p>
          <w:p>
            <w:pPr>
              <w:wordWrap w:val="off"/>
              <w:spacing w:lineRule="exact" w:line="378"/>
              <w:jc w:val="left"/>
            </w:pPr>
            <w:r>
              <w:rPr>
                <w:rFonts w:ascii="SimSun" w:hAnsi="SimSun" w:cs="SimSun" w:eastAsia="SimSun"/>
                <w:color w:val="000000"/>
                <w:sz w:val="21"/>
              </w:rPr>
              <w:t>机箱：桌面型机箱</w:t>
            </w:r>
          </w:p>
          <w:p>
            <w:pPr>
              <w:wordWrap w:val="off"/>
              <w:spacing w:lineRule="exact" w:line="378"/>
              <w:jc w:val="left"/>
            </w:pPr>
            <w:r>
              <w:rPr>
                <w:rFonts w:ascii="SimSun" w:hAnsi="SimSun" w:cs="SimSun" w:eastAsia="SimSun"/>
                <w:color w:val="000000"/>
                <w:sz w:val="21"/>
              </w:rPr>
              <w:t>电源：AC100-240V，18W，交流单电源</w:t>
            </w:r>
          </w:p>
          <w:p>
            <w:pPr>
              <w:wordWrap w:val="off"/>
              <w:spacing w:lineRule="exact" w:line="378"/>
              <w:jc w:val="left"/>
            </w:pPr>
            <w:r>
              <w:rPr>
                <w:rFonts w:ascii="SimSun" w:hAnsi="SimSun" w:cs="SimSun" w:eastAsia="SimSun"/>
                <w:color w:val="000000"/>
                <w:sz w:val="21"/>
              </w:rPr>
              <w:t>尺寸：266mm（宽）×161mm（深）×44mm（高）</w:t>
            </w:r>
          </w:p>
          <w:p>
            <w:pPr>
              <w:wordWrap w:val="off"/>
              <w:spacing w:lineRule="exact" w:line="378"/>
              <w:jc w:val="left"/>
            </w:pPr>
            <w:r>
              <w:rPr>
                <w:rFonts w:ascii="SimSun" w:hAnsi="SimSun" w:cs="SimSun" w:eastAsia="SimSun"/>
                <w:color w:val="000000"/>
                <w:sz w:val="21"/>
              </w:rPr>
              <w:t>环境要求：工作温度：0℃~40℃，环境湿度：10％~95％（不结露） ，</w:t>
            </w:r>
          </w:p>
          <w:p>
            <w:pPr>
              <w:wordWrap w:val="off"/>
              <w:spacing w:lineRule="exact" w:line="378"/>
              <w:jc w:val="left"/>
            </w:pPr>
            <w:r>
              <w:rPr>
                <w:rFonts w:ascii="SimSun" w:hAnsi="SimSun" w:cs="SimSun" w:eastAsia="SimSun"/>
                <w:b w:val="true"/>
                <w:color w:val="000000"/>
                <w:sz w:val="21"/>
              </w:rPr>
              <w:t>二:24网络口交换机。</w:t>
            </w:r>
          </w:p>
          <w:p>
            <w:pPr>
              <w:wordWrap w:val="off"/>
              <w:spacing w:lineRule="exact" w:line="378"/>
              <w:jc w:val="left"/>
            </w:pPr>
            <w:r>
              <w:rPr>
                <w:rFonts w:ascii="SimSun" w:hAnsi="SimSun" w:cs="SimSun" w:eastAsia="SimSun"/>
                <w:color w:val="000000"/>
                <w:sz w:val="21"/>
              </w:rPr>
              <w:t>【一】整机性能：交换容量≥660Gbps、包转发率≥96Mpps，以所投设备厂商官网描述有大小指标标注的，以小指标为衡量标准。</w:t>
            </w:r>
          </w:p>
          <w:p>
            <w:pPr>
              <w:wordWrap w:val="off"/>
              <w:spacing w:lineRule="exact" w:line="378"/>
              <w:jc w:val="left"/>
            </w:pPr>
            <w:r>
              <w:rPr>
                <w:rFonts w:ascii="SimSun" w:hAnsi="SimSun" w:cs="SimSun" w:eastAsia="SimSun"/>
                <w:color w:val="000000"/>
                <w:sz w:val="21"/>
              </w:rPr>
              <w:t>【二】端口：机身固化自带≥24个千兆电口、≥4个千兆SFP光口；考虑设备部署的环境，机身深度尺寸小于180mm；无风扇静音设计，降低噪音，温度告警；提供设备厂商官网描述截图或彩页。</w:t>
            </w:r>
          </w:p>
          <w:p>
            <w:pPr>
              <w:wordWrap w:val="off"/>
              <w:spacing w:lineRule="exact" w:line="378"/>
              <w:jc w:val="left"/>
            </w:pPr>
            <w:r>
              <w:rPr>
                <w:rFonts w:ascii="SimSun" w:hAnsi="SimSun" w:cs="SimSun" w:eastAsia="SimSun"/>
                <w:color w:val="000000"/>
                <w:sz w:val="21"/>
              </w:rPr>
              <w:t>【三】管理和维护：</w:t>
            </w:r>
          </w:p>
          <w:p>
            <w:pPr>
              <w:wordWrap w:val="off"/>
              <w:spacing w:lineRule="exact" w:line="378"/>
              <w:jc w:val="left"/>
            </w:pPr>
            <w:r>
              <w:rPr>
                <w:rFonts w:ascii="SimSun" w:hAnsi="SimSun" w:cs="SimSun" w:eastAsia="SimSun"/>
                <w:color w:val="000000"/>
                <w:sz w:val="21"/>
              </w:rPr>
              <w:t>支持标准的以太网OAM功能；提供断电告警功能；支持sflow等功能；</w:t>
            </w:r>
          </w:p>
          <w:p>
            <w:pPr>
              <w:wordWrap w:val="off"/>
              <w:spacing w:lineRule="exact" w:line="378"/>
              <w:jc w:val="left"/>
            </w:pPr>
            <w:r>
              <w:rPr>
                <w:rFonts w:ascii="SimSun" w:hAnsi="SimSun" w:cs="SimSun" w:eastAsia="SimSun"/>
                <w:color w:val="000000"/>
                <w:sz w:val="21"/>
              </w:rPr>
              <w:t>支持云端管理，客户不需要单独部署本地网络管理系统，可支持远程通过设备厂商云管理系统对设备进行管理和配置。</w:t>
            </w:r>
          </w:p>
          <w:p>
            <w:pPr>
              <w:wordWrap w:val="off"/>
              <w:spacing w:lineRule="exact" w:line="378"/>
              <w:jc w:val="left"/>
            </w:pPr>
            <w:r>
              <w:rPr>
                <w:rFonts w:ascii="SimSun" w:hAnsi="SimSun" w:cs="SimSun" w:eastAsia="SimSun"/>
                <w:color w:val="000000"/>
                <w:sz w:val="21"/>
              </w:rPr>
              <w:t>【四】节能环保：</w:t>
            </w:r>
          </w:p>
          <w:p>
            <w:pPr>
              <w:wordWrap w:val="off"/>
              <w:spacing w:lineRule="exact" w:line="378"/>
              <w:jc w:val="left"/>
            </w:pPr>
            <w:r>
              <w:rPr>
                <w:rFonts w:ascii="SimSun" w:hAnsi="SimSun" w:cs="SimSun" w:eastAsia="SimSun"/>
                <w:color w:val="000000"/>
                <w:sz w:val="21"/>
              </w:rPr>
              <w:t>★支持端口类LED shutoff功能；支持能效以太网（ 802.3az ）；提供国家权威机构测试报告复印件。</w:t>
            </w:r>
          </w:p>
          <w:p>
            <w:pPr>
              <w:wordWrap w:val="off"/>
              <w:spacing w:lineRule="exact" w:line="378"/>
              <w:jc w:val="left"/>
            </w:pPr>
            <w:r>
              <w:rPr>
                <w:rFonts w:ascii="SimSun" w:hAnsi="SimSun" w:cs="SimSun" w:eastAsia="SimSun"/>
                <w:color w:val="000000"/>
                <w:sz w:val="21"/>
              </w:rPr>
              <w:t>【五】高可靠性：</w:t>
            </w:r>
          </w:p>
          <w:p>
            <w:pPr>
              <w:wordWrap w:val="off"/>
              <w:spacing w:lineRule="exact" w:line="378"/>
              <w:jc w:val="left"/>
            </w:pPr>
            <w:r>
              <w:rPr>
                <w:rFonts w:ascii="SimSun" w:hAnsi="SimSun" w:cs="SimSun" w:eastAsia="SimSun"/>
                <w:color w:val="000000"/>
                <w:sz w:val="21"/>
              </w:rPr>
              <w:t>支持生成树快速收敛，要求广播收敛时间小于30ms；支持增强型多VLAN子网流量工程,实现非环网条件下的快速收敛；</w:t>
            </w:r>
          </w:p>
          <w:p>
            <w:pPr>
              <w:wordWrap w:val="off"/>
              <w:spacing w:lineRule="exact" w:line="378"/>
              <w:jc w:val="left"/>
            </w:pPr>
            <w:r>
              <w:rPr>
                <w:rFonts w:ascii="SimSun" w:hAnsi="SimSun" w:cs="SimSun" w:eastAsia="SimSun"/>
                <w:color w:val="000000"/>
                <w:sz w:val="21"/>
              </w:rPr>
              <w:t>支持G.8032。</w:t>
            </w:r>
          </w:p>
          <w:p>
            <w:pPr>
              <w:wordWrap w:val="off"/>
              <w:spacing w:lineRule="exact" w:line="378"/>
              <w:jc w:val="left"/>
            </w:pPr>
            <w:r>
              <w:rPr>
                <w:rFonts w:ascii="SimSun" w:hAnsi="SimSun" w:cs="SimSun" w:eastAsia="SimSun"/>
                <w:color w:val="000000"/>
                <w:sz w:val="21"/>
              </w:rPr>
              <w:t>【六】安全特性：</w:t>
            </w:r>
          </w:p>
          <w:p>
            <w:pPr>
              <w:wordWrap w:val="off"/>
              <w:spacing w:lineRule="exact" w:line="378"/>
              <w:jc w:val="left"/>
            </w:pPr>
            <w:r>
              <w:rPr>
                <w:rFonts w:ascii="SimSun" w:hAnsi="SimSun" w:cs="SimSun" w:eastAsia="SimSun"/>
                <w:color w:val="000000"/>
                <w:sz w:val="21"/>
              </w:rPr>
              <w:t>★支持ARP自动防御、防Dos攻击、CPU安全防护、动态ARP检测、DHCP Snooping per vlan等安全特性，（提供产品彩页或者功能截图证明材料）</w:t>
            </w:r>
          </w:p>
          <w:p>
            <w:pPr>
              <w:wordWrap w:val="off"/>
              <w:spacing w:lineRule="exact" w:line="378"/>
              <w:jc w:val="left"/>
            </w:pPr>
            <w:r>
              <w:rPr>
                <w:rFonts w:ascii="SimSun" w:hAnsi="SimSun" w:cs="SimSun" w:eastAsia="SimSun"/>
                <w:color w:val="000000"/>
                <w:sz w:val="21"/>
              </w:rPr>
              <w:t>【七】其他功能：</w:t>
            </w:r>
          </w:p>
          <w:p>
            <w:pPr>
              <w:wordWrap w:val="off"/>
              <w:spacing w:lineRule="exact" w:line="378"/>
              <w:jc w:val="left"/>
            </w:pPr>
            <w:r>
              <w:rPr>
                <w:rFonts w:ascii="SimSun" w:hAnsi="SimSun" w:cs="SimSun" w:eastAsia="SimSun"/>
                <w:color w:val="000000"/>
                <w:sz w:val="21"/>
              </w:rPr>
              <w:t>支持三层路由协议；</w:t>
            </w:r>
          </w:p>
          <w:p>
            <w:pPr>
              <w:wordWrap w:val="off"/>
              <w:spacing w:lineRule="exact" w:line="378"/>
              <w:jc w:val="left"/>
            </w:pPr>
            <w:r>
              <w:rPr>
                <w:rFonts w:ascii="SimSun" w:hAnsi="SimSun" w:cs="SimSun" w:eastAsia="SimSun"/>
                <w:color w:val="000000"/>
                <w:sz w:val="21"/>
              </w:rPr>
              <w:t>支持IPV6 DHCP Server特性、支持灵活QINQ＼选择性QINQ，需提供（提供产品彩页或者功能截图证明材料）</w:t>
            </w:r>
          </w:p>
          <w:p>
            <w:pPr>
              <w:wordWrap w:val="off"/>
              <w:spacing w:lineRule="exact" w:line="378"/>
              <w:jc w:val="left"/>
            </w:pPr>
            <w:r>
              <w:rPr>
                <w:rFonts w:ascii="SimSun" w:hAnsi="SimSun" w:cs="SimSun" w:eastAsia="SimSun"/>
                <w:color w:val="000000"/>
                <w:sz w:val="21"/>
              </w:rPr>
              <w:t>三：15个地插盒更换含内部模块。地插盒要求纯铜，内部模块（六类网络模块，音频对接模块，高清视频模块，卡农头模块）使用知名品牌。报告厅内部所涉及的网线，光纤，音箱线，音频线全部整理重新布设。数量满足学院需求，质量满足学院要求。</w:t>
            </w:r>
          </w:p>
          <w:p>
            <w:pPr>
              <w:wordWrap w:val="off"/>
              <w:spacing w:lineRule="exact" w:line="378"/>
              <w:ind w:firstLineChars="100"/>
              <w:jc w:val="left"/>
            </w:pPr>
            <w:r>
              <w:rPr>
                <w:rFonts w:ascii="SimSun" w:hAnsi="SimSun" w:cs="SimSun" w:eastAsia="SimSun"/>
                <w:color w:val="000000"/>
                <w:sz w:val="21"/>
              </w:rPr>
              <w:t/>
            </w:r>
          </w:p>
        </w:tc>
        <w:tc>
          <w:tcPr>
            <w:tcW w:type="dxa" w:w="705"/>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w:t>
            </w:r>
          </w:p>
        </w:tc>
        <w:tc>
          <w:tcPr>
            <w:tcW w:type="dxa" w:w="645"/>
            <w:tcBorders>
              <w:top w:val="nil"/>
              <w:left w:val="nil"/>
              <w:bottom w:val="single" w:sz="6" w:color="000000"/>
              <w:right w:val="none"/>
            </w:tcBorders>
            <w:vAlign w:val="center"/>
          </w:tcPr>
          <w:p>
            <w:pPr>
              <w:wordWrap w:val="off"/>
              <w:spacing w:lineRule="exact" w:line="378"/>
              <w:jc w:val="center"/>
            </w:pPr>
            <w:r>
              <w:rPr>
                <w:rFonts w:ascii="SimSun" w:hAnsi="SimSun" w:cs="SimSun" w:eastAsia="SimSun"/>
                <w:color w:val="000000"/>
                <w:sz w:val="21"/>
              </w:rPr>
              <w:t>项</w:t>
            </w:r>
          </w:p>
        </w:tc>
      </w:tr>
      <w:tr>
        <w:trPr>
          <w:trHeight w:val="300"/>
        </w:trPr>
        <w:tc>
          <w:tcPr>
            <w:tcW w:type="dxa" w:w="600"/>
            <w:tcBorders>
              <w:top w:val="nil"/>
              <w:left w:val="none"/>
              <w:bottom w:val="none"/>
              <w:right w:val="nil"/>
            </w:tcBorders>
            <w:vAlign w:val="center"/>
          </w:tcPr>
          <w:p>
            <w:pPr>
              <w:wordWrap w:val="off"/>
              <w:ind w:firstLineChars="100"/>
              <w:jc w:val="left"/>
            </w:pPr>
            <w:r>
              <w:rPr>
                <w:rFonts w:ascii="SimSun" w:hAnsi="SimSun" w:cs="SimSun" w:eastAsia="SimSun"/>
                <w:color w:val="000000"/>
                <w:sz w:val="21"/>
              </w:rPr>
              <w:t/>
            </w:r>
          </w:p>
        </w:tc>
        <w:tc>
          <w:tcPr>
            <w:tcW w:type="dxa" w:w="1275"/>
            <w:tcBorders>
              <w:top w:val="nil"/>
              <w:left w:val="nil"/>
              <w:bottom w:val="none"/>
              <w:right w:val="nil"/>
            </w:tcBorders>
            <w:vAlign w:val="center"/>
          </w:tcPr>
          <w:p>
            <w:pPr>
              <w:wordWrap w:val="off"/>
              <w:ind w:firstLineChars="100"/>
              <w:jc w:val="left"/>
            </w:pPr>
            <w:r>
              <w:rPr>
                <w:rFonts w:ascii="SimSun" w:hAnsi="SimSun" w:cs="SimSun" w:eastAsia="SimSun"/>
                <w:color w:val="000000"/>
                <w:sz w:val="21"/>
              </w:rPr>
              <w:t/>
            </w:r>
          </w:p>
        </w:tc>
        <w:tc>
          <w:tcPr>
            <w:tcW w:type="dxa" w:w="6360"/>
            <w:tcBorders>
              <w:top w:val="nil"/>
              <w:left w:val="nil"/>
              <w:bottom w:val="none"/>
              <w:right w:val="nil"/>
            </w:tcBorders>
            <w:vAlign w:val="center"/>
          </w:tcPr>
          <w:p>
            <w:pPr>
              <w:wordWrap w:val="off"/>
              <w:ind w:firstLineChars="100"/>
              <w:jc w:val="left"/>
            </w:pPr>
            <w:r>
              <w:rPr>
                <w:rFonts w:ascii="SimSun" w:hAnsi="SimSun" w:cs="SimSun" w:eastAsia="SimSun"/>
                <w:color w:val="000000"/>
                <w:sz w:val="21"/>
              </w:rPr>
              <w:t/>
            </w:r>
          </w:p>
        </w:tc>
        <w:tc>
          <w:tcPr>
            <w:tcW w:type="dxa" w:w="705"/>
            <w:tcBorders>
              <w:top w:val="nil"/>
              <w:left w:val="nil"/>
              <w:bottom w:val="none"/>
              <w:right w:val="nil"/>
            </w:tcBorders>
            <w:vAlign w:val="center"/>
          </w:tcPr>
          <w:p>
            <w:pPr>
              <w:wordWrap w:val="off"/>
              <w:ind w:firstLineChars="100"/>
              <w:jc w:val="left"/>
            </w:pPr>
            <w:r>
              <w:rPr>
                <w:rFonts w:ascii="SimSun" w:hAnsi="SimSun" w:cs="SimSun" w:eastAsia="SimSun"/>
                <w:color w:val="000000"/>
                <w:sz w:val="21"/>
              </w:rPr>
              <w:t/>
            </w:r>
          </w:p>
        </w:tc>
        <w:tc>
          <w:tcPr>
            <w:tcW w:type="dxa" w:w="645"/>
            <w:tcBorders>
              <w:top w:val="nil"/>
              <w:left w:val="nil"/>
              <w:bottom w:val="none"/>
              <w:right w:val="none"/>
            </w:tcBorders>
            <w:vAlign w:val="center"/>
          </w:tcPr>
          <w:p>
            <w:pPr>
              <w:wordWrap w:val="off"/>
              <w:ind w:firstLineChars="100"/>
              <w:jc w:val="left"/>
            </w:pPr>
            <w:r>
              <w:rPr>
                <w:rFonts w:ascii="SimSun" w:hAnsi="SimSun" w:cs="SimSun" w:eastAsia="SimSun"/>
                <w:color w:val="000000"/>
                <w:sz w:val="21"/>
              </w:rPr>
              <w:t/>
            </w:r>
          </w:p>
        </w:tc>
      </w:tr>
    </w:tbl>
    <w:p>
      <w:pPr>
        <w:wordWrap w:val="off"/>
        <w:spacing w:lineRule="exact" w:line="378"/>
        <w:jc w:val="left"/>
      </w:pPr>
      <w:r>
        <w:rPr>
          <w:rFonts w:ascii="SimSun" w:hAnsi="SimSun" w:cs="SimSun" w:eastAsia="SimSun"/>
          <w:color w:val="000000"/>
          <w:sz w:val="21"/>
        </w:rPr>
        <w:t xml:space="preserve">1、 </w:t>
      </w:r>
      <w:r>
        <w:rPr>
          <w:rFonts w:ascii="SimSun" w:hAnsi="SimSun" w:cs="SimSun" w:eastAsia="SimSun"/>
          <w:color w:val="000000"/>
          <w:sz w:val="24"/>
        </w:rPr>
        <w:t>地面PVC卷材</w:t>
      </w:r>
      <w:r>
        <w:drawing>
          <wp:inline distT="0" distR="0" distB="0" distL="0">
            <wp:extent cx="3371850" cy="3267075"/>
            <wp:docPr id="0" name="Drawing 0" descr="06d0d61be0a74768b6683acf198e0af7-a5d1e280-8c88-426f-880b-a827e8df02b8image1.png"/>
            <a:graphic xmlns:a="http://schemas.openxmlformats.org/drawingml/2006/main">
              <a:graphicData uri="http://schemas.openxmlformats.org/drawingml/2006/picture">
                <pic:pic xmlns:pic="http://schemas.openxmlformats.org/drawingml/2006/picture">
                  <pic:nvPicPr>
                    <pic:cNvPr id="0" name="Picture 0" descr="06d0d61be0a74768b6683acf198e0af7-a5d1e280-8c88-426f-880b-a827e8df02b8image1.png"/>
                    <pic:cNvPicPr>
                      <a:picLocks noChangeAspect="true"/>
                    </pic:cNvPicPr>
                  </pic:nvPicPr>
                  <pic:blipFill>
                    <a:blip r:embed="rId2"/>
                    <a:stretch>
                      <a:fillRect/>
                    </a:stretch>
                  </pic:blipFill>
                  <pic:spPr>
                    <a:xfrm>
                      <a:off x="0" y="0"/>
                      <a:ext cx="3371850" cy="3267075"/>
                    </a:xfrm>
                    <a:prstGeom prst="rect">
                      <a:avLst/>
                    </a:prstGeom>
                  </pic:spPr>
                </pic:pic>
              </a:graphicData>
            </a:graphic>
          </wp:inline>
        </w:drawing>
      </w:r>
    </w:p>
    <w:p>
      <w:pPr>
        <w:wordWrap w:val="off"/>
        <w:spacing w:lineRule="exact" w:line="378"/>
        <w:jc w:val="left"/>
      </w:pPr>
      <w:r>
        <w:rPr>
          <w:rFonts w:ascii="SimSun" w:hAnsi="SimSun" w:cs="SimSun" w:eastAsia="SimSun"/>
          <w:color w:val="000000"/>
          <w:sz w:val="21"/>
        </w:rPr>
        <w:t xml:space="preserve">2、 </w:t>
      </w:r>
      <w:r>
        <w:rPr>
          <w:rFonts w:ascii="SimSun" w:hAnsi="SimSun" w:cs="SimSun" w:eastAsia="SimSun"/>
          <w:color w:val="000000"/>
          <w:sz w:val="24"/>
        </w:rPr>
        <w:t>双开防盗门式样</w:t>
      </w:r>
      <w:r>
        <w:drawing>
          <wp:inline distT="0" distR="0" distB="0" distL="0">
            <wp:extent cx="2971800" cy="3629025"/>
            <wp:docPr id="1" name="Drawing 1" descr="06d0d61be0a74768b6683acf198e0af7-a5d1e280-8c88-426f-880b-a827e8df02b8image2.png"/>
            <a:graphic xmlns:a="http://schemas.openxmlformats.org/drawingml/2006/main">
              <a:graphicData uri="http://schemas.openxmlformats.org/drawingml/2006/picture">
                <pic:pic xmlns:pic="http://schemas.openxmlformats.org/drawingml/2006/picture">
                  <pic:nvPicPr>
                    <pic:cNvPr id="0" name="Picture 1" descr="06d0d61be0a74768b6683acf198e0af7-a5d1e280-8c88-426f-880b-a827e8df02b8image2.png"/>
                    <pic:cNvPicPr>
                      <a:picLocks noChangeAspect="true"/>
                    </pic:cNvPicPr>
                  </pic:nvPicPr>
                  <pic:blipFill>
                    <a:blip r:embed="rId3"/>
                    <a:stretch>
                      <a:fillRect/>
                    </a:stretch>
                  </pic:blipFill>
                  <pic:spPr>
                    <a:xfrm>
                      <a:off x="0" y="0"/>
                      <a:ext cx="2971800" cy="3629025"/>
                    </a:xfrm>
                    <a:prstGeom prst="rect">
                      <a:avLst/>
                    </a:prstGeom>
                  </pic:spPr>
                </pic:pic>
              </a:graphicData>
            </a:graphic>
          </wp:inline>
        </w:drawing>
      </w:r>
    </w:p>
    <w:p>
      <w:pPr>
        <w:wordWrap w:val="off"/>
        <w:spacing w:lineRule="exact" w:line="378"/>
        <w:jc w:val="left"/>
      </w:pPr>
      <w:r>
        <w:rPr>
          <w:rFonts w:ascii="SimSun" w:hAnsi="SimSun" w:cs="SimSun" w:eastAsia="SimSun"/>
          <w:color w:val="000000"/>
          <w:sz w:val="21"/>
        </w:rPr>
        <w:t xml:space="preserve">3、 </w:t>
      </w:r>
      <w:r>
        <w:rPr>
          <w:rFonts w:ascii="SimSun" w:hAnsi="SimSun" w:cs="SimSun" w:eastAsia="SimSun"/>
          <w:color w:val="000000"/>
          <w:sz w:val="24"/>
        </w:rPr>
        <w:t>椅子式样</w:t>
      </w:r>
      <w:r>
        <w:drawing>
          <wp:inline distT="0" distR="0" distB="0" distL="0">
            <wp:extent cx="4486275" cy="2990850"/>
            <wp:docPr id="2" name="Drawing 2" descr="06d0d61be0a74768b6683acf198e0af7-a5d1e280-8c88-426f-880b-a827e8df02b8image3.jpeg"/>
            <a:graphic xmlns:a="http://schemas.openxmlformats.org/drawingml/2006/main">
              <a:graphicData uri="http://schemas.openxmlformats.org/drawingml/2006/picture">
                <pic:pic xmlns:pic="http://schemas.openxmlformats.org/drawingml/2006/picture">
                  <pic:nvPicPr>
                    <pic:cNvPr id="0" name="Picture 2" descr="06d0d61be0a74768b6683acf198e0af7-a5d1e280-8c88-426f-880b-a827e8df02b8image3.jpeg"/>
                    <pic:cNvPicPr>
                      <a:picLocks noChangeAspect="true"/>
                    </pic:cNvPicPr>
                  </pic:nvPicPr>
                  <pic:blipFill>
                    <a:blip r:embed="rId4"/>
                    <a:stretch>
                      <a:fillRect/>
                    </a:stretch>
                  </pic:blipFill>
                  <pic:spPr>
                    <a:xfrm>
                      <a:off x="0" y="0"/>
                      <a:ext cx="4486275" cy="2990850"/>
                    </a:xfrm>
                    <a:prstGeom prst="rect">
                      <a:avLst/>
                    </a:prstGeom>
                  </pic:spPr>
                </pic:pic>
              </a:graphicData>
            </a:graphic>
          </wp:inline>
        </w:drawing>
      </w:r>
      <w:r>
        <w:rPr>
          <w:rFonts w:ascii="SimSun" w:hAnsi="SimSun" w:cs="SimSun" w:eastAsia="SimSun"/>
          <w:color w:val="000000"/>
          <w:sz w:val="24"/>
        </w:rPr>
        <w:t>椅子式样</w:t>
      </w:r>
      <w:r>
        <w:drawing>
          <wp:inline distT="0" distR="0" distB="0" distL="0">
            <wp:extent cx="4019550" cy="2676525"/>
            <wp:docPr id="3" name="Drawing 3" descr="06d0d61be0a74768b6683acf198e0af7-a5d1e280-8c88-426f-880b-a827e8df02b8image4.jpeg"/>
            <a:graphic xmlns:a="http://schemas.openxmlformats.org/drawingml/2006/main">
              <a:graphicData uri="http://schemas.openxmlformats.org/drawingml/2006/picture">
                <pic:pic xmlns:pic="http://schemas.openxmlformats.org/drawingml/2006/picture">
                  <pic:nvPicPr>
                    <pic:cNvPr id="0" name="Picture 3" descr="06d0d61be0a74768b6683acf198e0af7-a5d1e280-8c88-426f-880b-a827e8df02b8image4.jpeg"/>
                    <pic:cNvPicPr>
                      <a:picLocks noChangeAspect="true"/>
                    </pic:cNvPicPr>
                  </pic:nvPicPr>
                  <pic:blipFill>
                    <a:blip r:embed="rId5"/>
                    <a:stretch>
                      <a:fillRect/>
                    </a:stretch>
                  </pic:blipFill>
                  <pic:spPr>
                    <a:xfrm>
                      <a:off x="0" y="0"/>
                      <a:ext cx="4019550" cy="2676525"/>
                    </a:xfrm>
                    <a:prstGeom prst="rect">
                      <a:avLst/>
                    </a:prstGeom>
                  </pic:spPr>
                </pic:pic>
              </a:graphicData>
            </a:graphic>
          </wp:inline>
        </w:drawing>
      </w:r>
    </w:p>
    <w:p>
      <w:pPr>
        <w:wordWrap w:val="off"/>
        <w:spacing w:lineRule="exact" w:line="378"/>
        <w:jc w:val="left"/>
      </w:pPr>
      <w:r>
        <w:rPr>
          <w:rFonts w:ascii="SimSun" w:hAnsi="SimSun" w:cs="SimSun" w:eastAsia="SimSun"/>
          <w:color w:val="000000"/>
          <w:sz w:val="21"/>
        </w:rPr>
        <w:t xml:space="preserve">4、 </w:t>
      </w:r>
      <w:r>
        <w:rPr>
          <w:rFonts w:ascii="SimSun" w:hAnsi="SimSun" w:cs="SimSun" w:eastAsia="SimSun"/>
          <w:color w:val="000000"/>
          <w:sz w:val="22"/>
        </w:rPr>
        <w:t>舞台音频模块（音频地盒、卡农线材料等）。网关，交换机</w:t>
      </w:r>
      <w:r>
        <w:rPr>
          <w:rFonts w:ascii="SimSun" w:hAnsi="SimSun" w:cs="SimSun" w:eastAsia="SimSun"/>
          <w:color w:val="000000"/>
          <w:sz w:val="24"/>
        </w:rPr>
        <w:t xml:space="preserve"> </w:t>
      </w:r>
      <w:r>
        <w:drawing>
          <wp:inline distT="0" distR="0" distB="0" distL="0">
            <wp:extent cx="4124325" cy="3409950"/>
            <wp:docPr id="4" name="Drawing 4" descr="06d0d61be0a74768b6683acf198e0af7-a5d1e280-8c88-426f-880b-a827e8df02b8image5.png"/>
            <a:graphic xmlns:a="http://schemas.openxmlformats.org/drawingml/2006/main">
              <a:graphicData uri="http://schemas.openxmlformats.org/drawingml/2006/picture">
                <pic:pic xmlns:pic="http://schemas.openxmlformats.org/drawingml/2006/picture">
                  <pic:nvPicPr>
                    <pic:cNvPr id="0" name="Picture 4" descr="06d0d61be0a74768b6683acf198e0af7-a5d1e280-8c88-426f-880b-a827e8df02b8image5.png"/>
                    <pic:cNvPicPr>
                      <a:picLocks noChangeAspect="true"/>
                    </pic:cNvPicPr>
                  </pic:nvPicPr>
                  <pic:blipFill>
                    <a:blip r:embed="rId6"/>
                    <a:stretch>
                      <a:fillRect/>
                    </a:stretch>
                  </pic:blipFill>
                  <pic:spPr>
                    <a:xfrm>
                      <a:off x="0" y="0"/>
                      <a:ext cx="4124325" cy="3409950"/>
                    </a:xfrm>
                    <a:prstGeom prst="rect">
                      <a:avLst/>
                    </a:prstGeom>
                  </pic:spPr>
                </pic:pic>
              </a:graphicData>
            </a:graphic>
          </wp:inline>
        </w:drawing>
      </w:r>
      <w:r>
        <w:rPr>
          <w:rFonts w:ascii="SimSun" w:hAnsi="SimSun" w:cs="SimSun" w:eastAsia="SimSun"/>
          <w:color w:val="000000"/>
          <w:sz w:val="24"/>
        </w:rPr>
        <w:t xml:space="preserve"> </w:t>
      </w:r>
      <w:r>
        <w:drawing>
          <wp:inline distT="0" distR="0" distB="0" distL="0">
            <wp:extent cx="6362700" cy="3171825"/>
            <wp:docPr id="5" name="Drawing 5" descr="06d0d61be0a74768b6683acf198e0af7-a5d1e280-8c88-426f-880b-a827e8df02b8image6.jpeg"/>
            <a:graphic xmlns:a="http://schemas.openxmlformats.org/drawingml/2006/main">
              <a:graphicData uri="http://schemas.openxmlformats.org/drawingml/2006/picture">
                <pic:pic xmlns:pic="http://schemas.openxmlformats.org/drawingml/2006/picture">
                  <pic:nvPicPr>
                    <pic:cNvPr id="0" name="Picture 5" descr="06d0d61be0a74768b6683acf198e0af7-a5d1e280-8c88-426f-880b-a827e8df02b8image6.jpeg"/>
                    <pic:cNvPicPr>
                      <a:picLocks noChangeAspect="true"/>
                    </pic:cNvPicPr>
                  </pic:nvPicPr>
                  <pic:blipFill>
                    <a:blip r:embed="rId7"/>
                    <a:stretch>
                      <a:fillRect/>
                    </a:stretch>
                  </pic:blipFill>
                  <pic:spPr>
                    <a:xfrm>
                      <a:off x="0" y="0"/>
                      <a:ext cx="6362700" cy="3171825"/>
                    </a:xfrm>
                    <a:prstGeom prst="rect">
                      <a:avLst/>
                    </a:prstGeom>
                  </pic:spPr>
                </pic:pic>
              </a:graphicData>
            </a:graphic>
          </wp:inline>
        </w:drawing>
      </w:r>
      <w:r>
        <w:rPr>
          <w:rFonts w:ascii="SimSun" w:hAnsi="SimSun" w:cs="SimSun" w:eastAsia="SimSun"/>
          <w:color w:val="000000"/>
          <w:sz w:val="24"/>
        </w:rPr>
        <w:t xml:space="preserve"> </w:t>
      </w:r>
      <w:r>
        <w:drawing>
          <wp:inline distT="0" distR="0" distB="0" distL="0">
            <wp:extent cx="10020300" cy="3343275"/>
            <wp:docPr id="6" name="Drawing 6" descr="06d0d61be0a74768b6683acf198e0af7-a5d1e280-8c88-426f-880b-a827e8df02b8image7.jpeg"/>
            <a:graphic xmlns:a="http://schemas.openxmlformats.org/drawingml/2006/main">
              <a:graphicData uri="http://schemas.openxmlformats.org/drawingml/2006/picture">
                <pic:pic xmlns:pic="http://schemas.openxmlformats.org/drawingml/2006/picture">
                  <pic:nvPicPr>
                    <pic:cNvPr id="0" name="Picture 6" descr="06d0d61be0a74768b6683acf198e0af7-a5d1e280-8c88-426f-880b-a827e8df02b8image7.jpeg"/>
                    <pic:cNvPicPr>
                      <a:picLocks noChangeAspect="true"/>
                    </pic:cNvPicPr>
                  </pic:nvPicPr>
                  <pic:blipFill>
                    <a:blip r:embed="rId8"/>
                    <a:stretch>
                      <a:fillRect/>
                    </a:stretch>
                  </pic:blipFill>
                  <pic:spPr>
                    <a:xfrm>
                      <a:off x="0" y="0"/>
                      <a:ext cx="10020300" cy="3343275"/>
                    </a:xfrm>
                    <a:prstGeom prst="rect">
                      <a:avLst/>
                    </a:prstGeom>
                  </pic:spPr>
                </pic:pic>
              </a:graphicData>
            </a:graphic>
          </wp:inline>
        </w:drawing>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SimSun" w:hAnsi="SimSun" w:cs="SimSun" w:eastAsia="SimSun"/>
          <w:b w:val="true"/>
          <w:color w:val="000000"/>
          <w:sz w:val="21"/>
        </w:rPr>
        <w:t>服务承诺及要求:</w:t>
      </w:r>
    </w:p>
    <w:p>
      <w:pPr>
        <w:wordWrap w:val="off"/>
        <w:spacing w:lineRule="exact" w:line="378"/>
        <w:jc w:val="left"/>
      </w:pPr>
      <w:r>
        <w:rPr>
          <w:rFonts w:ascii="宋体" w:hAnsi="宋体" w:cs="宋体" w:eastAsia="宋体"/>
          <w:color w:val="000000"/>
          <w:sz w:val="21"/>
        </w:rPr>
        <w:t>1.拆除旧有椅子，旧有PVC卷材，边条，旧有线路，地插盒及模块，旧有6套防盗门（包含门框及墙面修补）。</w:t>
      </w:r>
    </w:p>
    <w:p>
      <w:pPr>
        <w:wordWrap w:val="off"/>
        <w:spacing w:lineRule="exact" w:line="378"/>
        <w:jc w:val="left"/>
      </w:pPr>
      <w:r>
        <w:rPr>
          <w:rFonts w:ascii="宋体" w:hAnsi="宋体" w:cs="宋体" w:eastAsia="宋体"/>
          <w:color w:val="000000"/>
          <w:sz w:val="21"/>
        </w:rPr>
        <w:t>2.线路重新布设，包括联通及编号。</w:t>
      </w:r>
    </w:p>
    <w:p>
      <w:pPr>
        <w:wordWrap w:val="off"/>
        <w:spacing w:lineRule="exact" w:line="378"/>
        <w:jc w:val="left"/>
      </w:pPr>
      <w:r>
        <w:rPr>
          <w:rFonts w:ascii="宋体" w:hAnsi="宋体" w:cs="宋体" w:eastAsia="宋体"/>
          <w:color w:val="000000"/>
          <w:sz w:val="21"/>
        </w:rPr>
        <w:t>3.所有拆除物须严格按照学院的要求，搬运至指定位置并合理摆放。</w:t>
      </w:r>
    </w:p>
    <w:p>
      <w:pPr>
        <w:wordWrap w:val="off"/>
        <w:spacing w:lineRule="exact" w:line="378"/>
        <w:jc w:val="left"/>
      </w:pPr>
      <w:r>
        <w:rPr>
          <w:rFonts w:ascii="宋体" w:hAnsi="宋体" w:cs="宋体" w:eastAsia="宋体"/>
          <w:color w:val="000000"/>
          <w:sz w:val="21"/>
        </w:rPr>
        <w:t>4.保洁及垃圾清运过程中，若因中标方原因导致现场原有构筑物、设施设备及其他装饰材料等损坏，中标方需无条件按原样进行修复。</w:t>
      </w:r>
    </w:p>
    <w:p>
      <w:pPr>
        <w:wordWrap w:val="off"/>
        <w:spacing w:lineRule="exact" w:line="378"/>
        <w:jc w:val="left"/>
      </w:pPr>
      <w:r>
        <w:rPr>
          <w:rFonts w:ascii="宋体" w:hAnsi="宋体" w:cs="宋体" w:eastAsia="宋体"/>
          <w:color w:val="000000"/>
          <w:sz w:val="21"/>
        </w:rPr>
        <w:t>5.安装新卷材、边条、椅子、防盗门（含门洞修补）、网关及交换机，进行调试以确保正常使用。提供试运行服务，以及3年的保修和上门服务。</w:t>
      </w:r>
    </w:p>
    <w:p>
      <w:pPr>
        <w:wordWrap w:val="off"/>
        <w:spacing w:lineRule="exact" w:line="378"/>
        <w:jc w:val="left"/>
      </w:pPr>
      <w:r>
        <w:rPr>
          <w:rFonts w:ascii="宋体" w:hAnsi="宋体" w:cs="宋体" w:eastAsia="宋体"/>
          <w:color w:val="000000"/>
          <w:sz w:val="21"/>
        </w:rPr>
        <w:t>6.本项目预算包含货物费、运输费、人工费、原有设备拆除及保洁费、设备安装调试及所需的耗材及相关措施费、后期环境检测报告、税费等完成本项目所需的一切费用。</w:t>
      </w:r>
    </w:p>
    <w:p>
      <w:pPr>
        <w:wordWrap w:val="off"/>
        <w:spacing w:lineRule="exact" w:line="378"/>
        <w:jc w:val="left"/>
      </w:pPr>
      <w:r>
        <w:rPr>
          <w:rFonts w:ascii="宋体" w:hAnsi="宋体" w:cs="宋体" w:eastAsia="宋体"/>
          <w:color w:val="000000"/>
          <w:sz w:val="21"/>
        </w:rPr>
        <w:t>7.所有涉及安全、环保、知识产权、品牌使用等在内的其他责任及相关费用，均由中标方全额承担，中标方不得向学校提出任何额外要求。</w:t>
      </w:r>
    </w:p>
    <w:p>
      <w:pPr>
        <w:wordWrap w:val="off"/>
        <w:spacing w:lineRule="exact" w:line="378"/>
        <w:jc w:val="left"/>
      </w:pPr>
      <w:r>
        <w:rPr>
          <w:rFonts w:ascii="宋体" w:hAnsi="宋体" w:cs="宋体" w:eastAsia="宋体"/>
          <w:color w:val="000000"/>
          <w:sz w:val="21"/>
        </w:rPr>
        <w:t>8. 中标后</w:t>
      </w:r>
      <w:r>
        <w:rPr>
          <w:rFonts w:ascii="宋体" w:hAnsi="宋体" w:cs="宋体" w:eastAsia="宋体"/>
          <w:color w:val="000000"/>
          <w:sz w:val="21"/>
        </w:rPr>
        <w:t>提供技术参数中的质检报告、资格证书等备查。</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jc w:val="left"/>
      </w:pPr>
      <w:r>
        <w:rPr>
          <w:rFonts w:ascii="宋体" w:hAnsi="宋体" w:cs="宋体" w:eastAsia="宋体"/>
          <w:color w:val="000000"/>
          <w:sz w:val="21"/>
        </w:rPr>
        <w:t>货物安装完成后提供第三方环境质量检测报告，报告满足：甲醛</w:t>
      </w:r>
      <w:r>
        <w:rPr>
          <w:rFonts w:ascii="微软雅黑" w:hAnsi="微软雅黑" w:cs="微软雅黑" w:eastAsia="微软雅黑"/>
          <w:color w:val="171a1d"/>
          <w:sz w:val="21"/>
          <w:highlight w:val="none"/>
        </w:rPr>
        <w:t>≤ 0.10 mg/m³</w:t>
      </w:r>
      <w:r>
        <w:rPr>
          <w:rFonts w:ascii="宋体" w:hAnsi="宋体" w:cs="宋体" w:eastAsia="宋体"/>
          <w:color w:val="000000"/>
          <w:sz w:val="21"/>
        </w:rPr>
        <w:t>、苯</w:t>
      </w:r>
      <w:r>
        <w:rPr>
          <w:rFonts w:ascii="微软雅黑" w:hAnsi="微软雅黑" w:cs="微软雅黑" w:eastAsia="微软雅黑"/>
          <w:color w:val="171a1d"/>
          <w:sz w:val="21"/>
          <w:highlight w:val="none"/>
        </w:rPr>
        <w:t>≤ 0.11 mg/m³</w:t>
      </w:r>
      <w:r>
        <w:rPr>
          <w:rFonts w:ascii="宋体" w:hAnsi="宋体" w:cs="宋体" w:eastAsia="宋体"/>
          <w:color w:val="000000"/>
          <w:sz w:val="21"/>
        </w:rPr>
        <w:t>、甲苯</w:t>
      </w:r>
      <w:r>
        <w:rPr>
          <w:rFonts w:ascii="微软雅黑" w:hAnsi="微软雅黑" w:cs="微软雅黑" w:eastAsia="微软雅黑"/>
          <w:color w:val="171a1d"/>
          <w:sz w:val="21"/>
          <w:highlight w:val="none"/>
        </w:rPr>
        <w:t>≤ 0.20 mg/m³</w:t>
      </w:r>
      <w:r>
        <w:rPr>
          <w:rFonts w:ascii="宋体" w:hAnsi="宋体" w:cs="宋体" w:eastAsia="宋体"/>
          <w:color w:val="000000"/>
          <w:sz w:val="21"/>
        </w:rPr>
        <w:t>、二甲苯</w:t>
      </w:r>
      <w:r>
        <w:rPr>
          <w:rFonts w:ascii="微软雅黑" w:hAnsi="微软雅黑" w:cs="微软雅黑" w:eastAsia="微软雅黑"/>
          <w:color w:val="171a1d"/>
          <w:sz w:val="21"/>
          <w:highlight w:val="none"/>
        </w:rPr>
        <w:t>≤ 0.20 mg/m³</w:t>
      </w:r>
      <w:r>
        <w:rPr>
          <w:rFonts w:ascii="宋体" w:hAnsi="宋体" w:cs="宋体" w:eastAsia="宋体"/>
          <w:color w:val="000000"/>
          <w:sz w:val="21"/>
        </w:rPr>
        <w:t>、TVOC</w:t>
      </w:r>
      <w:r>
        <w:rPr>
          <w:rFonts w:ascii="微软雅黑" w:hAnsi="微软雅黑" w:cs="微软雅黑" w:eastAsia="微软雅黑"/>
          <w:color w:val="171a1d"/>
          <w:sz w:val="21"/>
          <w:highlight w:val="none"/>
        </w:rPr>
        <w:t>≤ 0.60 mg/m³；</w:t>
      </w:r>
      <w:r>
        <w:rPr>
          <w:rFonts w:ascii="宋体" w:hAnsi="宋体" w:cs="宋体" w:eastAsia="宋体"/>
          <w:color w:val="000000"/>
          <w:sz w:val="21"/>
        </w:rPr>
        <w:t>音频模块使用正常，达到使用单位要求，现场勘察合格后进行验收。</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全额付款： 本项目验收合格后，乙方开具全额发票，甲方于</w:t>
      </w:r>
      <w:r>
        <w:rPr>
          <w:rFonts w:ascii="宋体" w:hAnsi="宋体" w:cs="宋体" w:eastAsia="宋体"/>
          <w:color w:val="000000"/>
          <w:sz w:val="21"/>
        </w:rPr>
        <w:t>14</w:t>
      </w:r>
      <w:r>
        <w:rPr>
          <w:rFonts w:ascii="宋体" w:hAnsi="宋体" w:cs="宋体" w:eastAsia="宋体"/>
          <w:color w:val="000000"/>
          <w:sz w:val="21"/>
        </w:rPr>
        <w:t>日内一次性支付款项。</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发票需为增值税专用发票。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40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技术性能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响应招标文件要求的技术参数、技术规格、技术规范和技术要求的得30分。所投设备有负偏离项的（每负偏离一条扣1分，带★每负偏离一条扣2分，扣完为止）。</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样品（舞台观摩椅）</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样品（座椅龙骨、面料及回弹海绵构成）根据样品优劣0-11分，综合打分。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11</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认证证书</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（1）供应商具有有效期内的质量管理体系认证证书的得1分；</w:t>
            </w:r>
          </w:p>
          <w:p>
            <w:pPr>
              <w:wordWrap w:val="off"/>
              <w:spacing w:before="0" w:after="0" w:lineRule="exact" w:line="378"/>
              <w:jc w:val="left"/>
            </w:pPr>
            <w:r>
              <w:rPr>
                <w:rFonts w:ascii="宋体" w:hAnsi="宋体" w:cs="宋体" w:eastAsia="宋体"/>
                <w:color w:val="000000"/>
                <w:sz w:val="21"/>
              </w:rPr>
              <w:t>（2）供应商具有有效期内的环境管理体系认证证书的得1分；</w:t>
            </w:r>
          </w:p>
          <w:p>
            <w:pPr>
              <w:wordWrap w:val="off"/>
              <w:spacing w:before="0" w:after="0" w:lineRule="exact" w:line="378"/>
              <w:jc w:val="left"/>
            </w:pPr>
            <w:r>
              <w:rPr>
                <w:rFonts w:ascii="宋体" w:hAnsi="宋体" w:cs="宋体" w:eastAsia="宋体"/>
                <w:color w:val="000000"/>
                <w:sz w:val="21"/>
              </w:rPr>
              <w:t>（3）供应商具有有效期内的职业健康安全管理体系认证证书的得1分；</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注：提供通过年检并在有效期内的证书复印件（或扫描件），及全国认证认可信息公共服务平台认证查询截图，并加盖供应商公章，否则不得分。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项目团队人员配备</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（1）拟投入本项目的项目负责人具备系统集成类高级项目经理证书的得2分；</w:t>
            </w:r>
          </w:p>
          <w:p>
            <w:pPr>
              <w:wordWrap w:val="off"/>
              <w:spacing w:before="0" w:after="0" w:lineRule="exact" w:line="378"/>
              <w:jc w:val="left"/>
            </w:pPr>
            <w:r>
              <w:rPr>
                <w:rFonts w:ascii="宋体" w:hAnsi="宋体" w:cs="宋体" w:eastAsia="宋体"/>
                <w:color w:val="000000"/>
                <w:sz w:val="21"/>
              </w:rPr>
              <w:t>（2）负责本项目的实施技术团队(除项目负责人外)具备安防系统集成项目工程师，建筑电工高级工程师，信息技术应用创新专业运维工程师证书（中级）以上证书每个0.5分，最高1分）</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注：根据拟投入本项目的技术团队实力情况评分，同一人不重复计分，投标人具有的资质证书人员需提供相关证书及相关人员近三个月的有效社保证明复印件加盖公章，否则不得分。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政策分</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（1）供应商所投产品拥有“参与实施政府采购环境标志产品认证机构”出具的认证证书及证书发布平台查询截图的，得1分。</w:t>
            </w:r>
          </w:p>
          <w:p>
            <w:pPr>
              <w:wordWrap w:val="off"/>
              <w:spacing w:before="0" w:after="0" w:lineRule="exact" w:line="378"/>
              <w:jc w:val="left"/>
            </w:pPr>
            <w:r>
              <w:rPr>
                <w:rFonts w:ascii="宋体" w:hAnsi="宋体" w:cs="宋体" w:eastAsia="宋体"/>
                <w:color w:val="000000"/>
                <w:sz w:val="21"/>
              </w:rPr>
              <w:t>（2）投标产品具有参与实施绿色产品认证机构出具的认证证书的，其中标识得2分、标识得1分。</w:t>
            </w:r>
          </w:p>
          <w:p>
            <w:pPr>
              <w:wordWrap w:val="off"/>
              <w:spacing w:before="0" w:after="0" w:lineRule="exact" w:line="378"/>
              <w:jc w:val="left"/>
            </w:pPr>
            <w:r>
              <w:rPr>
                <w:rFonts w:ascii="宋体" w:hAnsi="宋体" w:cs="宋体" w:eastAsia="宋体"/>
                <w:color w:val="000000"/>
                <w:sz w:val="21"/>
              </w:rPr>
              <w:t>注：提供相关证书复印件并加盖公章，否则不得分。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售后服务承诺</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（1）售后服务承诺（0-3分）：售后服务方案全面周到且可行性强的得2-3分，售后服务方案基本全面但可行性一般的得1-2分，未提供不得分；</w:t>
            </w:r>
          </w:p>
          <w:p>
            <w:pPr>
              <w:wordWrap w:val="off"/>
              <w:spacing w:before="0" w:after="0" w:lineRule="exact" w:line="378"/>
              <w:jc w:val="left"/>
            </w:pPr>
            <w:r>
              <w:rPr>
                <w:rFonts w:ascii="宋体" w:hAnsi="宋体" w:cs="宋体" w:eastAsia="宋体"/>
                <w:color w:val="000000"/>
                <w:sz w:val="21"/>
              </w:rPr>
              <w:t>（2）运行维护（0-3分）：针对本项目的运行、维护的合理化建议与优惠措施合理清晰且可行性强的得2-3分，描述粗略、可行性一般的得1-2分，未提供的不得分。</w:t>
            </w:r>
          </w:p>
          <w:p>
            <w:pPr>
              <w:wordWrap w:val="off"/>
              <w:spacing w:before="0" w:after="0" w:lineRule="exact" w:line="378"/>
              <w:jc w:val="left"/>
            </w:pPr>
            <w:r>
              <w:rPr>
                <w:rFonts w:ascii="宋体" w:hAnsi="宋体" w:cs="宋体" w:eastAsia="宋体"/>
                <w:color w:val="000000"/>
                <w:sz w:val="21"/>
              </w:rPr>
              <w:t>（3） 主要货物产品  观摩椅，网关承诺中标后提供原厂质量保证函。每项1分，共2分，不提供不得分。</w:t>
            </w:r>
          </w:p>
          <w:p>
            <w:pPr>
              <w:wordWrap w:val="off"/>
              <w:spacing w:before="0" w:after="0" w:lineRule="exact" w:line="378"/>
              <w:jc w:val="left"/>
            </w:pPr>
            <w:r>
              <w:rPr>
                <w:rFonts w:ascii="宋体" w:hAnsi="宋体" w:cs="宋体" w:eastAsia="宋体"/>
                <w:color w:val="000000"/>
                <w:sz w:val="21"/>
              </w:rPr>
              <w:t>（4）质保期在满足招标文件要求的前提下，每增加1年加0.5分，最高加2分。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技术性能</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湖州师范学院音乐学院音乐厅座椅设备货物采购项目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xz2026-0002</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湖州师范学院音乐学院音乐厅座椅设备货物采购项目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55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地面PVC卷材（含自流平）</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平方米</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586</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55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不锈钢七字压条</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米</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612</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55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双开防火门</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樘</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55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椅子(包含拆除、保洁、垃圾清理)</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把</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400</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55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舞台音频模块（音频地盒、卡农线材料等）、网关、交换机</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55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原设备拆除、清运、新设备安装、调试及辅材</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lineRule="exact" w:line="378"/>
        <w:jc w:val="left"/>
      </w:pPr>
      <w:r>
        <w:rPr>
          <w:rFonts w:ascii="SimSun" w:hAnsi="SimSun" w:cs="SimSun" w:eastAsia="SimSun"/>
          <w:b w:val="true"/>
          <w:color w:val="000000"/>
          <w:sz w:val="21"/>
        </w:rPr>
        <w:t>服务承诺及要求:</w:t>
      </w:r>
    </w:p>
    <w:p>
      <w:pPr>
        <w:wordWrap w:val="off"/>
        <w:spacing w:lineRule="exact" w:line="378"/>
        <w:jc w:val="left"/>
      </w:pPr>
      <w:r>
        <w:rPr>
          <w:rFonts w:ascii="宋体" w:hAnsi="宋体" w:cs="宋体" w:eastAsia="宋体"/>
          <w:color w:val="000000"/>
          <w:sz w:val="21"/>
        </w:rPr>
        <w:t>1.拆除旧有椅子，旧有PVC卷材，边条，旧有线路，地插盒及模块，旧有6套防盗门（包含门框及墙面修补）。</w:t>
      </w:r>
    </w:p>
    <w:p>
      <w:pPr>
        <w:wordWrap w:val="off"/>
        <w:spacing w:lineRule="exact" w:line="378"/>
        <w:jc w:val="left"/>
      </w:pPr>
      <w:r>
        <w:rPr>
          <w:rFonts w:ascii="宋体" w:hAnsi="宋体" w:cs="宋体" w:eastAsia="宋体"/>
          <w:color w:val="000000"/>
          <w:sz w:val="21"/>
        </w:rPr>
        <w:t>2.线路重新布设，包括联通及编号。</w:t>
      </w:r>
    </w:p>
    <w:p>
      <w:pPr>
        <w:wordWrap w:val="off"/>
        <w:spacing w:lineRule="exact" w:line="378"/>
        <w:jc w:val="left"/>
      </w:pPr>
      <w:r>
        <w:rPr>
          <w:rFonts w:ascii="宋体" w:hAnsi="宋体" w:cs="宋体" w:eastAsia="宋体"/>
          <w:color w:val="000000"/>
          <w:sz w:val="21"/>
        </w:rPr>
        <w:t>3.所有拆除物须严格按照学院的要求，搬运至指定位置并合理摆放。</w:t>
      </w:r>
    </w:p>
    <w:p>
      <w:pPr>
        <w:wordWrap w:val="off"/>
        <w:spacing w:lineRule="exact" w:line="378"/>
        <w:jc w:val="left"/>
      </w:pPr>
      <w:r>
        <w:rPr>
          <w:rFonts w:ascii="宋体" w:hAnsi="宋体" w:cs="宋体" w:eastAsia="宋体"/>
          <w:color w:val="000000"/>
          <w:sz w:val="21"/>
        </w:rPr>
        <w:t>4.保洁及垃圾清运过程中，若因中标方原因导致现场原有构筑物、设施设备及其他装饰材料等损坏，中标方需无条件按原样进行修复。</w:t>
      </w:r>
    </w:p>
    <w:p>
      <w:pPr>
        <w:wordWrap w:val="off"/>
        <w:spacing w:lineRule="exact" w:line="378"/>
        <w:jc w:val="left"/>
      </w:pPr>
      <w:r>
        <w:rPr>
          <w:rFonts w:ascii="宋体" w:hAnsi="宋体" w:cs="宋体" w:eastAsia="宋体"/>
          <w:color w:val="000000"/>
          <w:sz w:val="21"/>
        </w:rPr>
        <w:t>5.安装新卷材、边条、椅子、防盗门（含门洞修补）、网关及交换机，进行调试以确保正常使用。提供试运行服务，以及3年的保修和上门服务。</w:t>
      </w:r>
    </w:p>
    <w:p>
      <w:pPr>
        <w:wordWrap w:val="off"/>
        <w:spacing w:lineRule="exact" w:line="378"/>
        <w:jc w:val="left"/>
      </w:pPr>
      <w:r>
        <w:rPr>
          <w:rFonts w:ascii="宋体" w:hAnsi="宋体" w:cs="宋体" w:eastAsia="宋体"/>
          <w:color w:val="000000"/>
          <w:sz w:val="21"/>
        </w:rPr>
        <w:t>6.本项目预算包含货物费、运输费、人工费、原有设备拆除及保洁费、设备安装调试及所需的耗材及相关措施费、后期环境检测报告、税费等完成本项目所需的一切费用。</w:t>
      </w:r>
    </w:p>
    <w:p>
      <w:pPr>
        <w:wordWrap w:val="off"/>
        <w:spacing w:lineRule="exact" w:line="378"/>
        <w:jc w:val="left"/>
      </w:pPr>
      <w:r>
        <w:rPr>
          <w:rFonts w:ascii="宋体" w:hAnsi="宋体" w:cs="宋体" w:eastAsia="宋体"/>
          <w:color w:val="000000"/>
          <w:sz w:val="21"/>
        </w:rPr>
        <w:t>7.所有涉及安全、环保、知识产权、品牌使用等在内的其他责任及相关费用，均由中标方全额承担，中标方不得向学校提出任何额外要求。</w:t>
      </w:r>
    </w:p>
    <w:p>
      <w:pPr>
        <w:wordWrap w:val="off"/>
        <w:spacing w:lineRule="exact" w:line="378"/>
        <w:jc w:val="left"/>
      </w:pPr>
      <w:r>
        <w:rPr>
          <w:rFonts w:ascii="宋体" w:hAnsi="宋体" w:cs="宋体" w:eastAsia="宋体"/>
          <w:color w:val="000000"/>
          <w:sz w:val="21"/>
        </w:rPr>
        <w:t>8. 中标后</w:t>
      </w:r>
      <w:r>
        <w:rPr>
          <w:rFonts w:ascii="宋体" w:hAnsi="宋体" w:cs="宋体" w:eastAsia="宋体"/>
          <w:color w:val="000000"/>
          <w:sz w:val="21"/>
        </w:rPr>
        <w:t>提供技术参数中的质检报告、资格证书等备查。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　　　　　　　　　　　　　　　　　　　　　　　　　　</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全额付款： 本项目验收合格后，乙方开具全额发票，甲方于</w:t>
      </w:r>
      <w:r>
        <w:rPr>
          <w:rFonts w:ascii="宋体" w:hAnsi="宋体" w:cs="宋体" w:eastAsia="宋体"/>
          <w:color w:val="000000"/>
          <w:sz w:val="21"/>
        </w:rPr>
        <w:t>14</w:t>
      </w:r>
      <w:r>
        <w:rPr>
          <w:rFonts w:ascii="宋体" w:hAnsi="宋体" w:cs="宋体" w:eastAsia="宋体"/>
          <w:color w:val="000000"/>
          <w:sz w:val="21"/>
        </w:rPr>
        <w:t>日内一次性支付款项。</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）增值税专用发票</w:t>
      </w:r>
    </w:p>
    <w:p>
      <w:pPr>
        <w:wordWrap w:val="off"/>
        <w:spacing w:after="0" w:lineRule="exact" w:line="378"/>
        <w:jc w:val="left"/>
      </w:pP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8月20日前完成安装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湖州师范学院中校区16幢音乐厅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　</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　</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　</w:t>
      </w:r>
      <w:r>
        <w:rPr>
          <w:rFonts w:ascii="宋体" w:hAnsi="宋体" w:cs="宋体" w:eastAsia="宋体"/>
          <w:color w:val="000000"/>
          <w:sz w:val="21"/>
        </w:rPr>
        <w:t>份，甲方执</w:t>
      </w:r>
      <w:r>
        <w:rPr>
          <w:rFonts w:ascii="宋体" w:hAnsi="宋体" w:cs="宋体" w:eastAsia="宋体"/>
          <w:color w:val="000000"/>
          <w:sz w:val="21"/>
          <w:u w:val="single"/>
        </w:rPr>
        <w:t>　</w:t>
      </w:r>
      <w:r>
        <w:rPr>
          <w:rFonts w:ascii="宋体" w:hAnsi="宋体" w:cs="宋体" w:eastAsia="宋体"/>
          <w:color w:val="000000"/>
          <w:sz w:val="21"/>
        </w:rPr>
        <w:t>份，乙方执</w:t>
      </w:r>
      <w:r>
        <w:rPr>
          <w:rFonts w:ascii="宋体" w:hAnsi="宋体" w:cs="宋体" w:eastAsia="宋体"/>
          <w:color w:val="000000"/>
          <w:sz w:val="21"/>
          <w:u w:val="single"/>
        </w:rPr>
        <w:t>　</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2、中小企业、残疾人福利性单位、监狱企业声明资料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湖州师范学院音乐学院音乐厅座椅设备货物采购项目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ZJHU20260227004</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地面PVC卷材（含自流平）</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586</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平方米</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不锈钢七字压条</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612</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米</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双开防火门</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樘</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椅子(包含拆除、保洁、垃圾清理)</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400</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把</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舞台音频模块（音频地盒、卡农线材料等）、网关、交换机</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原设备拆除、清运、新设备安装、调试及辅材</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供应商是否属于</w:t>
            </w:r>
          </w:p>
          <w:p>
            <w:pPr>
              <w:wordWrap w:val="off"/>
              <w:spacing w:before="0" w:after="0" w:lineRule="exact" w:line="378"/>
              <w:jc w:val="center"/>
            </w:pPr>
            <w:r>
              <w:rPr>
                <w:rFonts w:ascii="宋体" w:hAnsi="宋体" w:cs="宋体" w:eastAsia="宋体"/>
                <w:color w:val="000000"/>
                <w:sz w:val="21"/>
              </w:rPr>
              <w:t>小微型企业</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（填写“是”或“否”）</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中小企业、残疾人福利性单位、监狱企业声明资料</w:t>
      </w:r>
    </w:p>
    <w:p>
      <w:pPr>
        <w:wordWrap w:val="off"/>
        <w:spacing w:before="79" w:after="79"/>
        <w:jc w:val="center"/>
      </w:pPr>
      <w:r>
        <w:rPr>
          <w:rFonts w:ascii="宋体" w:hAnsi="宋体" w:cs="宋体" w:eastAsia="宋体"/>
          <w:b w:val="true"/>
          <w:color w:val="000000"/>
          <w:sz w:val="22"/>
        </w:rPr>
        <w:t>（一）中小企业声明函（货物）</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本公司（联合体）郑重声明，根据《政府采购促进中小企业发展管理办法》（财库﹝2020﹞46 号）的规定，本公司（联合体）参加</w:t>
      </w:r>
      <w:r>
        <w:rPr>
          <w:rFonts w:ascii="宋体" w:hAnsi="宋体" w:cs="宋体" w:eastAsia="宋体"/>
          <w:color w:val="000000"/>
          <w:sz w:val="21"/>
          <w:u w:val="single"/>
        </w:rPr>
        <w:t>湖州师范学院</w:t>
      </w:r>
      <w:r>
        <w:rPr>
          <w:rFonts w:ascii="宋体" w:hAnsi="宋体" w:cs="宋体" w:eastAsia="宋体"/>
          <w:color w:val="000000"/>
          <w:sz w:val="21"/>
        </w:rPr>
        <w:t>的</w:t>
      </w:r>
      <w:r>
        <w:rPr>
          <w:rFonts w:ascii="宋体" w:hAnsi="宋体" w:cs="宋体" w:eastAsia="宋体"/>
          <w:color w:val="000000"/>
          <w:sz w:val="21"/>
          <w:u w:val="single"/>
        </w:rPr>
        <w:t>湖州师范学院音乐学院音乐厅座椅设备货物采购项目</w:t>
      </w:r>
      <w:r>
        <w:rPr>
          <w:rFonts w:ascii="宋体" w:hAnsi="宋体" w:cs="宋体" w:eastAsia="宋体"/>
          <w:color w:val="000000"/>
          <w:sz w:val="21"/>
        </w:rPr>
        <w:t>采购活动，提供的货物全部由符合政策要求的中小企业制造。相关企业（含联合体中的中小企业、签订分包意向协议的中小企业）的具体情况如下：</w:t>
      </w:r>
    </w:p>
    <w:p>
      <w:pPr>
        <w:wordWrap w:val="off"/>
        <w:spacing w:before="0" w:after="0" w:lineRule="exact" w:line="378"/>
        <w:ind w:firstLineChars="200"/>
        <w:jc w:val="left"/>
      </w:pPr>
      <w:r>
        <w:rPr>
          <w:rFonts w:ascii="宋体" w:hAnsi="宋体" w:cs="宋体" w:eastAsia="宋体"/>
          <w:color w:val="000000"/>
          <w:sz w:val="21"/>
        </w:rPr>
        <w:t>1.</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 xml:space="preserve">行业；制造商为 </w:t>
      </w:r>
      <w:r>
        <w:rPr>
          <w:rFonts w:ascii="宋体" w:hAnsi="宋体" w:cs="宋体" w:eastAsia="宋体"/>
          <w:color w:val="000000"/>
          <w:sz w:val="21"/>
          <w:u w:val="single"/>
        </w:rPr>
        <w:t xml:space="preserve">（企业名称） </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 xml:space="preserve">行业；制造商为 </w:t>
      </w:r>
      <w:r>
        <w:rPr>
          <w:rFonts w:ascii="宋体" w:hAnsi="宋体" w:cs="宋体" w:eastAsia="宋体"/>
          <w:color w:val="000000"/>
          <w:sz w:val="21"/>
          <w:u w:val="single"/>
        </w:rPr>
        <w:t xml:space="preserve">（企业名称） </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以上企业，不属于大企业的分支机构，不存在控股股东为大企业的情形，也不存在与大企业的负责人为同一人的情形。</w:t>
      </w:r>
    </w:p>
    <w:p>
      <w:pPr>
        <w:wordWrap w:val="off"/>
        <w:spacing w:before="0" w:after="0" w:lineRule="exact" w:line="378"/>
        <w:ind w:firstLineChars="200"/>
        <w:jc w:val="left"/>
      </w:pPr>
      <w:r>
        <w:rPr>
          <w:rFonts w:ascii="宋体" w:hAnsi="宋体" w:cs="宋体" w:eastAsia="宋体"/>
          <w:color w:val="000000"/>
          <w:sz w:val="21"/>
        </w:rPr>
        <w:t>本企业对上述声明内容的真实性负责。如有虚假，将依法承担相应责任。</w:t>
      </w: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2520"/>
            <w:hMerge w:val="restart"/>
            <w:tcBorders>
              <w:top w:val="nil"/>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 xml:space="preserve">企业名称（盖章）：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680"/>
            <w:hMerge w:val="restart"/>
            <w:tcBorders>
              <w:top w:val="nil"/>
              <w:left w:val="nil"/>
              <w:bottom w:val="nil"/>
              <w:right w:val="nil"/>
            </w:tcBorders>
            <w:tcMar>
              <w:top w:w="20" w:type="dxa"/>
              <w:left w:w="20" w:type="dxa"/>
              <w:bottom w:w="20" w:type="dxa"/>
              <w:right w:w="20" w:type="dxa"/>
            </w:tcMar>
            <w:vAlign w:val="center"/>
          </w:tcPr>
          <w:p>
            <w:pPr>
              <w:wordWrap w:val="off"/>
              <w:ind w:firstLineChars="50"/>
              <w:jc w:val="center"/>
            </w:pPr>
            <w:r>
              <w:rPr>
                <w:rFonts w:ascii="宋体" w:hAnsi="宋体" w:cs="宋体" w:eastAsia="宋体"/>
                <w:color w:val="000000"/>
                <w:sz w:val="21"/>
              </w:rPr>
              <w:t>日   期：</w:t>
            </w: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wordWrap w:val="off"/>
        <w:spacing w:after="0" w:lineRule="exact" w:line="378"/>
        <w:ind w:firstLineChars="200"/>
        <w:jc w:val="left"/>
      </w:pPr>
      <w:r>
        <w:rPr>
          <w:rFonts w:ascii="宋体" w:hAnsi="宋体" w:cs="宋体" w:eastAsia="宋体"/>
          <w:color w:val="000000"/>
          <w:sz w:val="21"/>
        </w:rPr>
        <w:t>注：从业人员、营业收入、资产总额填报上一年度数据，无上一年度数据的新成立企业可不填报。</w:t>
      </w:r>
    </w:p>
    <w:p>
      <w:pPr>
        <w:spacing w:before="0" w:after="0" w:lineRule="exact" w:line="2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（二）监狱企业证明函</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根据《财政部 司法部关于政府采购支持监狱企业发展有关问题的通知》（财库[2014]68号）的规定，</w:t>
      </w:r>
      <w:r>
        <w:rPr>
          <w:rFonts w:ascii="宋体" w:hAnsi="宋体" w:cs="宋体" w:eastAsia="宋体"/>
          <w:color w:val="000000"/>
          <w:sz w:val="21"/>
          <w:u w:val="single"/>
        </w:rPr>
        <w:t xml:space="preserve">            </w:t>
      </w:r>
      <w:r>
        <w:rPr>
          <w:rFonts w:ascii="宋体" w:hAnsi="宋体" w:cs="宋体" w:eastAsia="宋体"/>
          <w:color w:val="000000"/>
          <w:sz w:val="21"/>
        </w:rPr>
        <w:t>（填写供应商法定全称）为监狱企业。</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特此证明。</w:t>
      </w:r>
    </w:p>
    <w:p>
      <w:pPr>
        <w:spacing w:before="0" w:after="0" w:lineRule="exact" w:line="136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2"/>
              </w:rPr>
              <w:t>省级以上监狱管理局、戒毒管理局（含新疆生产建设兵团）（盖章）：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8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（三）残疾人福利性单位声明函</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本单位郑重声明，根据《财政部民政部中国残疾人联合会关于促进残疾人就业政府采购政策的通知》（财库〔2017〕 141号）的规定，本单位为符合条件的残疾人福利性单位，且本单位参加</w:t>
      </w:r>
      <w:r>
        <w:rPr>
          <w:rFonts w:ascii="宋体" w:hAnsi="宋体" w:cs="宋体" w:eastAsia="宋体"/>
          <w:color w:val="000000"/>
          <w:sz w:val="21"/>
          <w:u w:val="single"/>
        </w:rPr>
        <w:t xml:space="preserve">       </w:t>
      </w:r>
      <w:r>
        <w:rPr>
          <w:rFonts w:ascii="宋体" w:hAnsi="宋体" w:cs="宋体" w:eastAsia="宋体"/>
          <w:color w:val="000000"/>
          <w:sz w:val="21"/>
        </w:rPr>
        <w:t>单位的</w:t>
      </w:r>
      <w:r>
        <w:rPr>
          <w:rFonts w:ascii="宋体" w:hAnsi="宋体" w:cs="宋体" w:eastAsia="宋体"/>
          <w:color w:val="000000"/>
          <w:sz w:val="21"/>
        </w:rPr>
        <w:t>湖州师范学院音乐学院音乐厅座椅设备货物采购项目</w:t>
      </w:r>
      <w:r>
        <w:rPr>
          <w:rFonts w:ascii="宋体" w:hAnsi="宋体" w:cs="宋体" w:eastAsia="宋体"/>
          <w:color w:val="000000"/>
          <w:sz w:val="21"/>
        </w:rPr>
        <w:t>项目采购活动提供本单位制造的货物（由本单位承担工程/提供服务），或者提供其他残疾人福利性单位制造的货物（不包括使用非残疾人福利性单位注册商标的货物）。</w:t>
      </w:r>
    </w:p>
    <w:p>
      <w:pPr>
        <w:wordWrap w:val="off"/>
        <w:spacing w:before="0" w:after="0" w:lineRule="exact" w:line="378"/>
        <w:ind w:firstLineChars="200"/>
        <w:jc w:val="left"/>
      </w:pPr>
      <w:r>
        <w:rPr>
          <w:rFonts w:ascii="宋体" w:hAnsi="宋体" w:cs="宋体" w:eastAsia="宋体"/>
          <w:color w:val="000000"/>
          <w:sz w:val="21"/>
        </w:rPr>
        <w:t>本单位对上述声明的真实性负责。如有虚假，将依法承担相应责任。</w:t>
      </w:r>
    </w:p>
    <w:p>
      <w:pPr>
        <w:spacing w:before="0" w:after="0" w:lineRule="exact" w:line="172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供应商名称（盖章）：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湖州师范学院音乐学院音乐厅座椅设备货物采购项目</w:t>
      </w:r>
      <w:r>
        <w:rPr>
          <w:rFonts w:ascii="宋体" w:hAnsi="宋体" w:cs="宋体" w:eastAsia="宋体"/>
          <w:color w:val="000000"/>
          <w:sz w:val="21"/>
        </w:rPr>
        <w:t>(项目编号：</w:t>
      </w:r>
      <w:r>
        <w:rPr>
          <w:rFonts w:ascii="宋体" w:hAnsi="宋体" w:cs="宋体" w:eastAsia="宋体"/>
          <w:color w:val="000000"/>
          <w:sz w:val="21"/>
          <w:u w:val="single"/>
        </w:rPr>
        <w:t>ZJHU20260227004</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湖州师范学院音乐学院音乐厅座椅设备货物采购项目</w:t>
      </w:r>
      <w:r>
        <w:rPr>
          <w:rFonts w:ascii="宋体" w:hAnsi="宋体" w:cs="宋体" w:eastAsia="宋体"/>
          <w:color w:val="000000"/>
          <w:sz w:val="21"/>
        </w:rPr>
        <w:t>（项目名称）</w:t>
      </w:r>
      <w:r>
        <w:rPr>
          <w:rFonts w:ascii="宋体" w:hAnsi="宋体" w:cs="宋体" w:eastAsia="宋体"/>
          <w:color w:val="000000"/>
          <w:sz w:val="21"/>
        </w:rPr>
        <w:t>ZJHU20260227004</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2、实施进度计划表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ZJHU20260227004</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实施进度计划表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10" Target="footer1.xml" Type="http://schemas.openxmlformats.org/officeDocument/2006/relationships/footer"/>
<Relationship Id="rId2" Target="media/image1.png" Type="http://schemas.openxmlformats.org/officeDocument/2006/relationships/image"/>
<Relationship Id="rId3" Target="media/image2.png" Type="http://schemas.openxmlformats.org/officeDocument/2006/relationships/image"/>
<Relationship Id="rId4" Target="media/image3.jpeg" Type="http://schemas.openxmlformats.org/officeDocument/2006/relationships/image"/>
<Relationship Id="rId5" Target="media/image4.jpeg" Type="http://schemas.openxmlformats.org/officeDocument/2006/relationships/image"/>
<Relationship Id="rId6" Target="media/image5.png" Type="http://schemas.openxmlformats.org/officeDocument/2006/relationships/image"/>
<Relationship Id="rId7" Target="media/image6.jpeg" Type="http://schemas.openxmlformats.org/officeDocument/2006/relationships/image"/>
<Relationship Id="rId8" Target="media/image7.jpeg" Type="http://schemas.openxmlformats.org/officeDocument/2006/relationships/image"/>
<Relationship Id="rId9" Target="header1.xml" Type="http://schemas.openxmlformats.org/officeDocument/2006/relationships/head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2026-03-20T06:21:59Z</dcterms:created>
  <dc:creator>Apache POI</dc:creator>
</cp:coreProperties>
</file>