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xz2026-0005</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安全保卫部/共享单车服务项目</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2026年03月25日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2026年04月01日 09时30分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xz2026-0005</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安全保卫部/共享单车服务项目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0</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最高限价(单价)：0.80元/15分钟（单次），超过最高限价的报价为无效报价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 xml:space="preserve">    最高限价说明：单次骑行最高限价0.8元/15分钟、办卡骑行最高限价0.5元/15分钟。</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湖州师范学院校园占地面积1560亩，校园面积较大，宿舍区与教学楼、图书馆、食堂之间通勤距离较远，为师生提供绿色智慧的出行便利，共享自行车、共享电动自行车能作为非常实惠便捷的补充。</w:t>
      </w:r>
    </w:p>
    <w:p>
      <w:pPr>
        <w:wordWrap w:val="off"/>
        <w:spacing w:before="0" w:after="0" w:lineRule="exact" w:line="378"/>
        <w:ind w:firstLineChars="200"/>
        <w:jc w:val="left"/>
      </w:pPr>
      <w:r>
        <w:rPr>
          <w:rFonts w:ascii="宋体" w:hAnsi="宋体" w:cs="宋体" w:eastAsia="宋体"/>
          <w:color w:val="000000"/>
          <w:sz w:val="21"/>
        </w:rPr>
        <w:t>根据湖州师范学院的在校人数、校园面积、交通现状、地形分布，核算投放数量。计划引入运营商3家，总计1800辆共享电动自行车。运营商按中标共享电动自行车的数1:1比例投放相同数量的共享自行车，共享电动自行车和共享自行车均不收管理费，未经校方同意，运营商不得将本项目私自转包或变相转包他人。运营服务期3年，每年投放车辆数量根据需求适度调整。</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运营服务期3年，2029年4月止，具体日期以合同为准。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拟确定</w:t>
      </w:r>
      <w:r>
        <w:rPr>
          <w:rFonts w:ascii="宋体" w:hAnsi="宋体" w:cs="宋体" w:eastAsia="宋体"/>
          <w:color w:val="000000"/>
          <w:sz w:val="21"/>
        </w:rPr>
        <w:t>3</w:t>
      </w:r>
      <w:r>
        <w:rPr>
          <w:rFonts w:ascii="宋体" w:hAnsi="宋体" w:cs="宋体" w:eastAsia="宋体"/>
          <w:color w:val="000000"/>
          <w:sz w:val="21"/>
        </w:rPr>
        <w:t>家中标供应商</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参加政府采购活动前三年内（新成立不满三年的公司自成立之日起算）在经营活动中没有重大违法记录；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运营商在湖州市中心区域投放共享电动自行车数量不少于1500辆，在湖州师范学院周边有办公室、仓库、换电站等必须的工作场所，需提供相关证明材料。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共享自行车符合《GB3565.2-2022自行车安全要求第2部分：城市和旅行用自行车、青少年自行车、山地自行车与竞赛自行车的要求》，共享电动自行车符合GB17761-2024《电动自行车安全技术规范》，提供相关证明材料，格式自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，不接受现场报名。须上传经工商部门通过年检的企业法人营业执照副本、加盖公章的法人授权委托书、被授权人身份证及社保证明材料。</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2026年03月31日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2026年04月01日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2026年04月01日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150"/>
        <w:jc w:val="left"/>
      </w:pPr>
      <w:r>
        <w:rPr>
          <w:rFonts w:ascii="宋体" w:hAnsi="宋体" w:cs="宋体" w:eastAsia="宋体"/>
          <w:color w:val="000000"/>
          <w:sz w:val="21"/>
        </w:rPr>
        <w:t>当最终投标单位不足3家时，所有投标单位均入围。</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李老师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0572-2322575</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2026年03月25日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安全保卫部/共享单车服务项目</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湖州师范学院三校区</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运营服务期3年，2029年4月止，具体日期以合同为准。</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提供电动自行车和自行车各一台。</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0.80元/15分钟（单次）</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符合参加政府采购活动应当具备的一般条件的承诺函；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政府采购供应商廉洁自律承诺书；</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14.2.7 授权代表社保证明材料。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14.2.8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产品质保服务内容及质保期；</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距采购人最近的服务网点的详细介绍，包括资质资格、技术力量、工作业绩、服务内容及承诺；</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14.3.6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1</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1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服务内容</w:t>
            </w:r>
          </w:p>
        </w:tc>
        <w:tc>
          <w:tcPr>
            <w:tcW w:type="dxa" w:w="31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服务期限</w:t>
            </w:r>
          </w:p>
        </w:tc>
        <w:tc>
          <w:tcPr>
            <w:tcW w:type="dxa" w:w="12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82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完成标准</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31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校园共享电动自行车、共享自行车服务项目</w:t>
            </w:r>
          </w:p>
        </w:tc>
        <w:tc>
          <w:tcPr>
            <w:tcW w:type="dxa" w:w="31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3年，自合同签订并生效后至2029年4月止。</w:t>
            </w:r>
          </w:p>
        </w:tc>
        <w:tc>
          <w:tcPr>
            <w:tcW w:type="dxa" w:w="12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82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见验收标准</w:t>
            </w:r>
          </w:p>
        </w:tc>
      </w:tr>
      <w:tr>
        <w:trPr>
          <w:trHeight w:val="360" w:hRule="exact"/>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ind w:firstLineChars="200"/>
        <w:jc w:val="left"/>
      </w:pPr>
      <w:r>
        <w:rPr>
          <w:rFonts w:ascii="SimSun" w:hAnsi="SimSun" w:cs="SimSun" w:eastAsia="SimSun"/>
          <w:color w:val="000000"/>
          <w:sz w:val="21"/>
        </w:rPr>
        <w:t>项目概况：本项目位于湖州师范学院校园内，目前师生规模约 18500人。学校拟引入共享电动自行车和共享自行车合作运营项目，提供共享电动自行车、共享自行车的运营和管理服务，以满足师生出行需求，提升出行效率，缓解公共交通压力。</w:t>
      </w:r>
    </w:p>
    <w:p>
      <w:pPr>
        <w:wordWrap w:val="off"/>
        <w:spacing w:lineRule="exact" w:line="378"/>
        <w:ind w:firstLineChars="100"/>
        <w:jc w:val="left"/>
      </w:pPr>
      <w:r>
        <w:rPr>
          <w:rFonts w:ascii="宋体" w:hAnsi="宋体" w:cs="宋体" w:eastAsia="宋体"/>
          <w:color w:val="000000"/>
          <w:sz w:val="21"/>
        </w:rPr>
        <w:t/>
      </w:r>
      <w:r>
        <w:rPr>
          <w:rFonts w:ascii="SimSun" w:hAnsi="SimSun" w:cs="SimSun" w:eastAsia="SimSun"/>
          <w:color w:val="000000"/>
          <w:sz w:val="21"/>
        </w:rPr>
        <w:t xml:space="preserve"> ▲</w:t>
      </w:r>
      <w:r>
        <w:rPr>
          <w:rFonts w:ascii="SimSun" w:hAnsi="SimSun" w:cs="SimSun" w:eastAsia="SimSun"/>
          <w:b w:val="true"/>
          <w:color w:val="000000"/>
          <w:sz w:val="21"/>
        </w:rPr>
        <w:t>一、基本要求:</w:t>
      </w:r>
    </w:p>
    <w:p>
      <w:pPr>
        <w:wordWrap w:val="off"/>
        <w:spacing w:lineRule="exact" w:line="378"/>
        <w:ind w:firstLineChars="200"/>
        <w:jc w:val="left"/>
      </w:pPr>
      <w:r>
        <w:rPr>
          <w:rFonts w:ascii="SimSun" w:hAnsi="SimSun" w:cs="SimSun" w:eastAsia="SimSun"/>
          <w:color w:val="000000"/>
          <w:sz w:val="21"/>
        </w:rPr>
        <w:t>（1）投放数量：引入运营商3家，总计1800辆共享电动自行车。运营商按中标共享电动自行车的数1:1比例投放相同数量的共享自行车（后续投放数量根据学校要求增减），主要覆盖教学楼、图书馆、运动场、食堂、宿舍等区域，需与校外相通，不得投放商业性质广告。</w:t>
      </w:r>
    </w:p>
    <w:p>
      <w:pPr>
        <w:wordWrap w:val="off"/>
        <w:spacing w:lineRule="exact" w:line="378"/>
        <w:ind w:firstLineChars="200"/>
        <w:jc w:val="left"/>
      </w:pPr>
      <w:r>
        <w:rPr>
          <w:rFonts w:ascii="SimSun" w:hAnsi="SimSun" w:cs="SimSun" w:eastAsia="SimSun"/>
          <w:color w:val="000000"/>
          <w:sz w:val="21"/>
        </w:rPr>
        <w:t>（2）</w:t>
      </w:r>
      <w:r>
        <w:rPr>
          <w:rFonts w:ascii="SimSun" w:hAnsi="SimSun" w:cs="SimSun" w:eastAsia="SimSun"/>
          <w:color w:val="000000"/>
          <w:sz w:val="21"/>
        </w:rPr>
        <w:t>投放区域：校园内，东、中、西三个校区，具体按采购人规划执行。</w:t>
      </w:r>
    </w:p>
    <w:p>
      <w:pPr>
        <w:wordWrap w:val="off"/>
        <w:spacing w:lineRule="exact" w:line="378"/>
        <w:ind w:firstLineChars="200"/>
        <w:jc w:val="left"/>
      </w:pPr>
      <w:r>
        <w:rPr>
          <w:rFonts w:ascii="SimSun" w:hAnsi="SimSun" w:cs="SimSun" w:eastAsia="SimSun"/>
          <w:color w:val="000000"/>
          <w:sz w:val="21"/>
        </w:rPr>
        <w:t>（3）</w:t>
      </w:r>
      <w:r>
        <w:rPr>
          <w:rFonts w:ascii="SimSun" w:hAnsi="SimSun" w:cs="SimSun" w:eastAsia="SimSun"/>
          <w:color w:val="000000"/>
          <w:sz w:val="21"/>
        </w:rPr>
        <w:t>运营要求：运营的共享自行车与共享电动自行车需与校外相通，便于师生出行。共享电动车需配备专用头盔，并装封闭前斗，保障头盔正常使用。</w:t>
      </w:r>
    </w:p>
    <w:p>
      <w:pPr>
        <w:wordWrap w:val="off"/>
        <w:spacing w:lineRule="exact" w:line="378"/>
        <w:ind w:firstLineChars="200"/>
        <w:jc w:val="left"/>
      </w:pPr>
      <w:r>
        <w:rPr>
          <w:rFonts w:ascii="SimSun" w:hAnsi="SimSun" w:cs="SimSun" w:eastAsia="SimSun"/>
          <w:color w:val="000000"/>
          <w:sz w:val="21"/>
        </w:rPr>
        <w:t>（4）</w:t>
      </w:r>
      <w:r>
        <w:rPr>
          <w:rFonts w:ascii="SimSun" w:hAnsi="SimSun" w:cs="SimSun" w:eastAsia="SimSun"/>
          <w:color w:val="000000"/>
          <w:sz w:val="21"/>
        </w:rPr>
        <w:t>运营维护服务：</w:t>
      </w:r>
      <w:r>
        <w:rPr>
          <w:rFonts w:ascii="SimSun" w:hAnsi="SimSun" w:cs="SimSun" w:eastAsia="SimSun"/>
          <w:color w:val="000000"/>
          <w:sz w:val="21"/>
        </w:rPr>
        <w:t>运营商提供校区内共享电动自行车和共享自行车运营维护服务，相关费用由中标运营商承担；合作期内，所产生的全部投入与运行费用由运营商承担。</w:t>
      </w:r>
    </w:p>
    <w:p>
      <w:pPr>
        <w:wordWrap w:val="off"/>
        <w:spacing w:lineRule="exact" w:line="378"/>
        <w:ind w:firstLineChars="200"/>
        <w:jc w:val="left"/>
      </w:pPr>
      <w:r>
        <w:rPr>
          <w:rFonts w:ascii="SimSun" w:hAnsi="SimSun" w:cs="SimSun" w:eastAsia="SimSun"/>
          <w:color w:val="000000"/>
          <w:sz w:val="21"/>
        </w:rPr>
        <w:t>（5）其他：共享电动自行车和共享自行车均不收管理费，未经校方同意，运营商不得将本项目私自转包或变相转包他人。</w:t>
      </w:r>
    </w:p>
    <w:p>
      <w:pPr>
        <w:wordWrap w:val="off"/>
        <w:spacing w:lineRule="exact" w:line="378"/>
        <w:ind w:firstLineChars="100"/>
        <w:jc w:val="left"/>
      </w:pPr>
      <w:r>
        <w:rPr>
          <w:rFonts w:ascii="SimSun" w:hAnsi="SimSun" w:cs="SimSun" w:eastAsia="SimSun"/>
          <w:color w:val="000000"/>
          <w:sz w:val="21"/>
        </w:rPr>
        <w:t/>
      </w:r>
      <w:r>
        <w:rPr>
          <w:rFonts w:ascii="SimSun" w:hAnsi="SimSun" w:cs="SimSun" w:eastAsia="SimSun"/>
          <w:b w:val="true"/>
          <w:color w:val="000000"/>
          <w:sz w:val="21"/>
        </w:rPr>
        <w:t xml:space="preserve"> </w:t>
      </w:r>
      <w:r>
        <w:rPr>
          <w:rFonts w:ascii="SimSun" w:hAnsi="SimSun" w:cs="SimSun" w:eastAsia="SimSun"/>
          <w:color w:val="000000"/>
          <w:sz w:val="21"/>
        </w:rPr>
        <w:t>▲</w:t>
      </w:r>
      <w:r>
        <w:rPr>
          <w:rFonts w:ascii="SimSun" w:hAnsi="SimSun" w:cs="SimSun" w:eastAsia="SimSun"/>
          <w:b w:val="true"/>
          <w:color w:val="000000"/>
          <w:sz w:val="21"/>
        </w:rPr>
        <w:t>二、资源配置要求：</w:t>
      </w:r>
    </w:p>
    <w:p>
      <w:pPr>
        <w:wordWrap w:val="off"/>
        <w:spacing w:lineRule="exact" w:line="378"/>
        <w:ind w:firstLineChars="200"/>
        <w:jc w:val="left"/>
      </w:pPr>
      <w:r>
        <w:rPr>
          <w:rFonts w:ascii="SimSun" w:hAnsi="SimSun" w:cs="SimSun" w:eastAsia="SimSun"/>
          <w:color w:val="000000"/>
          <w:sz w:val="21"/>
        </w:rPr>
        <w:t>（1）车辆要求：投放进入校园的共享电动自行车和共享电动车100%符合国家标准和湖州市地方标准，运营商保障共享电动自行车和共享自行车的质量和状态，确保车辆可以正常骑行，确保用户用车安全。具有3C认证。</w:t>
      </w:r>
    </w:p>
    <w:p>
      <w:pPr>
        <w:wordWrap w:val="off"/>
        <w:spacing w:lineRule="exact" w:line="378"/>
        <w:ind w:firstLineChars="200"/>
        <w:jc w:val="left"/>
      </w:pPr>
      <w:r>
        <w:rPr>
          <w:rFonts w:ascii="SimSun" w:hAnsi="SimSun" w:cs="SimSun" w:eastAsia="SimSun"/>
          <w:color w:val="000000"/>
          <w:sz w:val="21"/>
        </w:rPr>
        <w:t/>
      </w:r>
      <w:r>
        <w:rPr>
          <w:rFonts w:ascii="SimSun" w:hAnsi="SimSun" w:cs="SimSun" w:eastAsia="SimSun"/>
          <w:color w:val="171a1d"/>
          <w:sz w:val="21"/>
        </w:rPr>
        <w:t>（2）共享自行车符合《GB3565.2-2022自行车安全要求第2部分：城市和旅行用自行车、青少年自行车、山地自行车与竞赛自行车的要求》，共享电动自行车符合GB17761-2024《电动自行车安全技术规范》。最高设计车速（km/h）：≤25。具有3C认证。安全提示语：车辆配有安全提示语，及时防止小孩骑行及带人，避免交通意外的发生，全面呵护用户的出行安全。电量提醒：共享电动自行车具备电量不足提醒功能，支持电量不足时系统会通知运维人员回收，统一维护，统一充电。共享电动自行车配备安全头盔。所有车辆具备统一品牌标志，配备智能定位系统，车辆安装智能锁，具有语音交互、车辆健康检测、电池安全管控等功能。</w:t>
      </w:r>
    </w:p>
    <w:p>
      <w:pPr>
        <w:wordWrap w:val="off"/>
        <w:spacing w:lineRule="exact" w:line="378"/>
        <w:ind w:firstLineChars="200"/>
        <w:jc w:val="left"/>
      </w:pPr>
      <w:r>
        <w:rPr>
          <w:rFonts w:ascii="SimSun" w:hAnsi="SimSun" w:cs="SimSun" w:eastAsia="SimSun"/>
          <w:color w:val="000000"/>
          <w:sz w:val="21"/>
        </w:rPr>
        <w:t>（3）按照投入车辆的30%进行备件和电池储备，保障充足的新车储存，能够及时替补老旧破损车辆，保障师生骑行体验和安全。</w:t>
      </w:r>
    </w:p>
    <w:p>
      <w:pPr>
        <w:wordWrap w:val="off"/>
        <w:spacing w:lineRule="exact" w:line="378"/>
        <w:ind w:firstLineChars="200"/>
        <w:jc w:val="left"/>
      </w:pPr>
      <w:r>
        <w:rPr>
          <w:rFonts w:ascii="SimSun" w:hAnsi="SimSun" w:cs="SimSun" w:eastAsia="SimSun"/>
          <w:color w:val="000000"/>
          <w:sz w:val="21"/>
        </w:rPr>
        <w:t>（4）仓库实行零配件严格分区，充足配备备件及电池等易耗品。</w:t>
      </w:r>
    </w:p>
    <w:p>
      <w:pPr>
        <w:wordWrap w:val="off"/>
        <w:spacing w:lineRule="exact" w:line="378"/>
        <w:ind w:firstLineChars="200"/>
        <w:jc w:val="left"/>
      </w:pPr>
      <w:r>
        <w:rPr>
          <w:rFonts w:ascii="SimSun" w:hAnsi="SimSun" w:cs="SimSun" w:eastAsia="SimSun"/>
          <w:color w:val="000000"/>
          <w:sz w:val="21"/>
        </w:rPr>
        <w:t>（5）对需淘汰的车辆和配件严格按照制度进行淘汰，严禁重复利用。</w:t>
      </w:r>
    </w:p>
    <w:p>
      <w:pPr>
        <w:wordWrap w:val="off"/>
        <w:spacing w:lineRule="exact" w:line="378"/>
        <w:ind w:firstLineChars="200"/>
        <w:jc w:val="left"/>
      </w:pPr>
      <w:r>
        <w:rPr>
          <w:rFonts w:ascii="SimSun" w:hAnsi="SimSun" w:cs="SimSun" w:eastAsia="SimSun"/>
          <w:color w:val="000000"/>
          <w:sz w:val="21"/>
        </w:rPr>
        <w:t>（6）保障充足的调度车辆，符合区域管理要求和交警部门要求，使运维任务及时处理和响应。</w:t>
      </w:r>
    </w:p>
    <w:p>
      <w:pPr>
        <w:wordWrap w:val="off"/>
        <w:spacing w:lineRule="exact" w:line="378"/>
        <w:ind w:firstLineChars="200"/>
        <w:jc w:val="left"/>
      </w:pPr>
      <w:r>
        <w:rPr>
          <w:rFonts w:ascii="SimSun" w:hAnsi="SimSun" w:cs="SimSun" w:eastAsia="SimSun"/>
          <w:color w:val="000000"/>
          <w:sz w:val="21"/>
        </w:rPr>
        <w:t>（7）根据技术发展及时更新车辆技术信息和硬件配置，以适应市场需求和管理要求。利用更先进的技术手段实现车辆的自动调度、故障预警等功能，不断提升车辆的定位精度、智能锁的响应速度等，提高用户的使用体验。</w:t>
      </w:r>
    </w:p>
    <w:p>
      <w:pPr>
        <w:wordWrap w:val="off"/>
        <w:spacing w:lineRule="exact" w:line="378"/>
        <w:ind w:firstLineChars="100"/>
        <w:jc w:val="left"/>
      </w:pPr>
      <w:r>
        <w:rPr>
          <w:rFonts w:ascii="SimSun" w:hAnsi="SimSun" w:cs="SimSun" w:eastAsia="SimSun"/>
          <w:color w:val="000000"/>
          <w:sz w:val="21"/>
        </w:rPr>
        <w:t>▲</w:t>
      </w:r>
      <w:r>
        <w:rPr>
          <w:rFonts w:ascii="SimSun" w:hAnsi="SimSun" w:cs="SimSun" w:eastAsia="SimSun"/>
          <w:b w:val="true"/>
          <w:color w:val="000000"/>
          <w:sz w:val="21"/>
        </w:rPr>
        <w:t>三、校园内运营管理要求：</w:t>
      </w:r>
    </w:p>
    <w:p>
      <w:pPr>
        <w:wordWrap w:val="off"/>
        <w:spacing w:lineRule="exact" w:line="378"/>
        <w:ind w:firstLineChars="200"/>
        <w:jc w:val="left"/>
      </w:pPr>
      <w:r>
        <w:rPr>
          <w:rFonts w:ascii="SimSun" w:hAnsi="SimSun" w:cs="SimSun" w:eastAsia="SimSun"/>
          <w:color w:val="000000"/>
          <w:sz w:val="21"/>
        </w:rPr>
        <w:t>（1）运营商制定并执行规范、标准的校园共享电动自行车和共享自行车的运行维护方案，组织专业队伍开展校园共享车辆的管理和维护，工作人员职责清晰、流程规范，在校内开展工作时，遵纪守法、举止文明、服务周到。</w:t>
      </w:r>
    </w:p>
    <w:p>
      <w:pPr>
        <w:wordWrap w:val="off"/>
        <w:spacing w:lineRule="exact" w:line="378"/>
        <w:ind w:firstLineChars="200"/>
        <w:jc w:val="left"/>
      </w:pPr>
      <w:r>
        <w:rPr>
          <w:rFonts w:ascii="SimSun" w:hAnsi="SimSun" w:cs="SimSun" w:eastAsia="SimSun"/>
          <w:color w:val="000000"/>
          <w:sz w:val="21"/>
        </w:rPr>
        <w:t>（2）运营商根据校方的要求，在校园内划定停车区域，并配套交通标识的建设，根据学校要求，利用相关技术设置虚拟停车区和违停区（电子围栏），加强对车辆有序停放的管理，维护校园环境，做好师生服务。</w:t>
      </w:r>
    </w:p>
    <w:p>
      <w:pPr>
        <w:wordWrap w:val="off"/>
        <w:spacing w:lineRule="exact" w:line="378"/>
        <w:ind w:firstLineChars="200"/>
        <w:jc w:val="left"/>
      </w:pPr>
      <w:r>
        <w:rPr>
          <w:rFonts w:ascii="SimSun" w:hAnsi="SimSun" w:cs="SimSun" w:eastAsia="SimSun"/>
          <w:color w:val="000000"/>
          <w:sz w:val="21"/>
        </w:rPr>
        <w:t>（3）共享电动自行车和共享自行车在校园内受到损坏， 由运营商自行负责及时维修或清理。</w:t>
      </w:r>
    </w:p>
    <w:p>
      <w:pPr>
        <w:wordWrap w:val="off"/>
        <w:spacing w:lineRule="exact" w:line="378"/>
        <w:ind w:firstLineChars="200"/>
        <w:jc w:val="left"/>
      </w:pPr>
      <w:r>
        <w:rPr>
          <w:rFonts w:ascii="SimSun" w:hAnsi="SimSun" w:cs="SimSun" w:eastAsia="SimSun"/>
          <w:color w:val="000000"/>
          <w:sz w:val="21"/>
        </w:rPr>
        <w:t>（4）定期对校园内车辆进行保养等，保证车辆外观及骑行舒适度，及时回收不符合运营要求的车辆。</w:t>
      </w:r>
    </w:p>
    <w:p>
      <w:pPr>
        <w:wordWrap w:val="off"/>
        <w:spacing w:lineRule="exact" w:line="378"/>
        <w:ind w:firstLineChars="200"/>
        <w:jc w:val="left"/>
      </w:pPr>
      <w:r>
        <w:rPr>
          <w:rFonts w:ascii="SimSun" w:hAnsi="SimSun" w:cs="SimSun" w:eastAsia="SimSun"/>
          <w:color w:val="000000"/>
          <w:sz w:val="21"/>
        </w:rPr>
        <w:t>（5）保障校内投放的车辆整齐有序，对有碍学校安全与秩序的车辆及时整理或搬运转移，如接到校方通知时，做到 10分钟响应，30分钟完成。</w:t>
      </w:r>
    </w:p>
    <w:p>
      <w:pPr>
        <w:wordWrap w:val="off"/>
        <w:spacing w:lineRule="exact" w:line="378"/>
        <w:ind w:firstLineChars="200"/>
        <w:jc w:val="left"/>
      </w:pPr>
      <w:r>
        <w:rPr>
          <w:rFonts w:ascii="SimSun" w:hAnsi="SimSun" w:cs="SimSun" w:eastAsia="SimSun"/>
          <w:color w:val="000000"/>
          <w:sz w:val="21"/>
        </w:rPr>
        <w:t>（6）根据项目要求组建服务团队，团队人员配置合理、数量充足、分工明确、职责清晰、流程规范，能完全满足项目服务要求。项目投入人员不少于6人（管理人员1人、客服人员1人、运维人员4人），后期人员视项目推进安排进行调配。须设专人巡检制度，合理安排专人专责对共享电动车服务系统巡检，并向采购人提供巡检人员名单及负责网点的情况。合理安排工作人员分工，并为工作人员配备作业工具。工作人员必须统一穿着工作服上岗。</w:t>
      </w:r>
    </w:p>
    <w:p>
      <w:pPr>
        <w:wordWrap w:val="off"/>
        <w:spacing w:lineRule="exact" w:line="378"/>
        <w:ind w:firstLineChars="100"/>
        <w:jc w:val="left"/>
      </w:pPr>
      <w:r>
        <w:rPr>
          <w:rFonts w:ascii="SimSun" w:hAnsi="SimSun" w:cs="SimSun" w:eastAsia="SimSun"/>
          <w:color w:val="000000"/>
          <w:sz w:val="21"/>
        </w:rPr>
        <w:t/>
      </w:r>
      <w:r>
        <w:rPr>
          <w:rFonts w:ascii="SimSun" w:hAnsi="SimSun" w:cs="SimSun" w:eastAsia="SimSun"/>
          <w:b w:val="true"/>
          <w:color w:val="000000"/>
          <w:sz w:val="21"/>
        </w:rPr>
        <w:t xml:space="preserve"> </w:t>
      </w:r>
      <w:r>
        <w:rPr>
          <w:rFonts w:ascii="SimSun" w:hAnsi="SimSun" w:cs="SimSun" w:eastAsia="SimSun"/>
          <w:color w:val="000000"/>
          <w:sz w:val="21"/>
        </w:rPr>
        <w:t>▲</w:t>
      </w:r>
      <w:r>
        <w:rPr>
          <w:rFonts w:ascii="SimSun" w:hAnsi="SimSun" w:cs="SimSun" w:eastAsia="SimSun"/>
          <w:b w:val="true"/>
          <w:color w:val="000000"/>
          <w:sz w:val="21"/>
        </w:rPr>
        <w:t>四、故障响应及修复时间要求：</w:t>
      </w:r>
    </w:p>
    <w:p>
      <w:pPr>
        <w:wordWrap w:val="off"/>
        <w:spacing w:lineRule="exact" w:line="378"/>
        <w:ind w:firstLineChars="200"/>
        <w:jc w:val="left"/>
      </w:pPr>
      <w:r>
        <w:rPr>
          <w:rFonts w:ascii="SimSun" w:hAnsi="SimSun" w:cs="SimSun" w:eastAsia="SimSun"/>
          <w:color w:val="000000"/>
          <w:sz w:val="21"/>
        </w:rPr>
        <w:t>（1）在收到情况反馈（包括但不限于平台系统检测、运维员工上报、客诉电话接入、校园相关部门通知、群众告知等）后，运维服务人员进行现场修复处理，一般情况下，要求10分钟内响应，30分钟内到达现场，4小时内排除修复故障。如设备损坏严重无法修复，立即更换同类或者更优化产品。</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（2）开通 24小时服务热线。</w:t>
      </w:r>
    </w:p>
    <w:p>
      <w:pPr>
        <w:wordWrap w:val="off"/>
        <w:spacing w:lineRule="exact" w:line="378"/>
        <w:ind w:firstLineChars="100"/>
        <w:jc w:val="left"/>
      </w:pPr>
      <w:r>
        <w:rPr>
          <w:rFonts w:ascii="SimSun" w:hAnsi="SimSun" w:cs="SimSun" w:eastAsia="SimSun"/>
          <w:color w:val="000000"/>
          <w:sz w:val="21"/>
        </w:rPr>
        <w:t/>
      </w:r>
      <w:r>
        <w:rPr>
          <w:rFonts w:ascii="SimSun" w:hAnsi="SimSun" w:cs="SimSun" w:eastAsia="SimSun"/>
          <w:b w:val="true"/>
          <w:color w:val="000000"/>
          <w:sz w:val="21"/>
        </w:rPr>
        <w:t xml:space="preserve"> ▲五、安全管理要求：</w:t>
      </w:r>
    </w:p>
    <w:p>
      <w:pPr>
        <w:wordWrap w:val="off"/>
        <w:spacing w:lineRule="exact" w:line="378"/>
        <w:ind w:firstLineChars="200"/>
        <w:jc w:val="left"/>
      </w:pPr>
      <w:r>
        <w:rPr>
          <w:rFonts w:ascii="SimSun" w:hAnsi="SimSun" w:cs="SimSun" w:eastAsia="SimSun"/>
          <w:color w:val="000000"/>
          <w:sz w:val="21"/>
        </w:rPr>
        <w:t>（1）运营商应确保车辆安全，制定应急措施、安全管理制度，加强员工的安全教育。</w:t>
      </w:r>
    </w:p>
    <w:p>
      <w:pPr>
        <w:wordWrap w:val="off"/>
        <w:spacing w:lineRule="exact" w:line="378"/>
        <w:ind w:firstLineChars="200"/>
        <w:jc w:val="left"/>
      </w:pPr>
      <w:r>
        <w:rPr>
          <w:rFonts w:ascii="SimSun" w:hAnsi="SimSun" w:cs="SimSun" w:eastAsia="SimSun"/>
          <w:color w:val="000000"/>
          <w:sz w:val="21"/>
        </w:rPr>
        <w:t>（2）依法依规用户信息等严格保密，未经允许不得向任何单位（个人）泄露。</w:t>
      </w:r>
    </w:p>
    <w:p>
      <w:pPr>
        <w:wordWrap w:val="off"/>
        <w:spacing w:lineRule="exact" w:line="378"/>
        <w:ind w:firstLineChars="200"/>
        <w:jc w:val="left"/>
      </w:pPr>
      <w:r>
        <w:rPr>
          <w:rFonts w:ascii="SimSun" w:hAnsi="SimSun" w:cs="SimSun" w:eastAsia="SimSun"/>
          <w:color w:val="000000"/>
          <w:sz w:val="21"/>
        </w:rPr>
        <w:t>（3）运营商及从业人员的身份证和工作证等材料向校方相关职能部门备案，并办理统一的人员出入证。无证者不得进入校园。</w:t>
      </w:r>
    </w:p>
    <w:p>
      <w:pPr>
        <w:wordWrap w:val="off"/>
        <w:spacing w:lineRule="exact" w:line="378"/>
        <w:ind w:firstLineChars="200"/>
        <w:jc w:val="left"/>
      </w:pPr>
      <w:r>
        <w:rPr>
          <w:rFonts w:ascii="SimSun" w:hAnsi="SimSun" w:cs="SimSun" w:eastAsia="SimSun"/>
          <w:color w:val="000000"/>
          <w:sz w:val="21"/>
        </w:rPr>
        <w:t>（4）运营商负责校内运营场地范围内的车辆安全责任，因车辆安全问题造成的人身或财产损失等事故的，由运营商自行承担。</w:t>
      </w:r>
    </w:p>
    <w:p>
      <w:pPr>
        <w:wordWrap w:val="off"/>
        <w:spacing w:lineRule="exact" w:line="378"/>
        <w:ind w:firstLineChars="200"/>
        <w:jc w:val="left"/>
      </w:pPr>
      <w:r>
        <w:rPr>
          <w:rFonts w:ascii="SimSun" w:hAnsi="SimSun" w:cs="SimSun" w:eastAsia="SimSun"/>
          <w:color w:val="000000"/>
          <w:sz w:val="21"/>
        </w:rPr>
        <w:t/>
      </w:r>
      <w:r>
        <w:rPr>
          <w:rFonts w:ascii="SimSun" w:hAnsi="SimSun" w:cs="SimSun" w:eastAsia="SimSun"/>
          <w:b w:val="true"/>
          <w:color w:val="000000"/>
          <w:sz w:val="21"/>
        </w:rPr>
        <w:t xml:space="preserve"> ▲六、收费标准：</w:t>
      </w:r>
    </w:p>
    <w:p>
      <w:pPr>
        <w:wordWrap w:val="off"/>
        <w:spacing w:lineRule="exact" w:line="378"/>
        <w:ind w:firstLineChars="200"/>
        <w:jc w:val="left"/>
      </w:pPr>
      <w:r>
        <w:rPr>
          <w:rFonts w:ascii="SimSun" w:hAnsi="SimSun" w:cs="SimSun" w:eastAsia="SimSun"/>
          <w:b w:val="true"/>
          <w:color w:val="000000"/>
          <w:sz w:val="21"/>
        </w:rPr>
        <w:t/>
      </w:r>
      <w:r>
        <w:rPr>
          <w:rFonts w:ascii="SimSun" w:hAnsi="SimSun" w:cs="SimSun" w:eastAsia="SimSun"/>
          <w:color w:val="000000"/>
          <w:sz w:val="21"/>
        </w:rPr>
        <w:t>（1）投放校园的共享电动自行车和共享自行车为免押金骑行收费模式，提供包周、包月骑行套餐。</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（2）共享自行车收费标准：首小时免费，超过1小时按1元/小时收费，当日最高收取10元。</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3）共享电动自行车收费标准：分为临时用车和办卡用车两类。临时用车报价不超过0.8元/15分钟。超出15分钟，以5分钟为单位计费（不满5分钟按5分钟计费），按中标价的三分之一收费。为在校师生提供包周、包月骑行的办卡用车（不提供季卡及以上骑行套餐），办卡用车不超过0.5元/15分钟。用车时长超出15分钟，以5分钟为单位计费（不满5分钟按5分钟计费），每5分钟按中标价的三分之一收费。在校师生市区内骑行享受同样的优惠政策。</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（4）非还车点调度费、运营区域外调度费等费用按照运营商在湖州市场价执行。</w:t>
      </w:r>
    </w:p>
    <w:p>
      <w:pPr>
        <w:wordWrap w:val="off"/>
        <w:spacing w:lineRule="exact" w:line="378"/>
        <w:ind w:firstLineChars="200"/>
        <w:jc w:val="left"/>
      </w:pPr>
      <w:r>
        <w:rPr>
          <w:rFonts w:ascii="SimSun" w:hAnsi="SimSun" w:cs="SimSun" w:eastAsia="SimSun"/>
          <w:color w:val="000000"/>
          <w:sz w:val="21"/>
        </w:rPr>
        <w:t>（5）具体价格以中标价格为准。</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w:t>
      </w:r>
      <w:r>
        <w:rPr>
          <w:rFonts w:ascii="SimSun" w:hAnsi="SimSun" w:cs="SimSun" w:eastAsia="SimSun"/>
          <w:b w:val="true"/>
          <w:color w:val="000000"/>
          <w:sz w:val="21"/>
        </w:rPr>
        <w:t>七、履约保证金：</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（1）履约保证金是运营商在履行合同责任期间的履约保证，运营商在签订合同前需缴纳10万元人民币履约保证金，履约保证金不计息。</w:t>
      </w:r>
    </w:p>
    <w:p>
      <w:pPr>
        <w:wordWrap w:val="off"/>
        <w:spacing w:lineRule="exact" w:line="378"/>
        <w:ind w:firstLineChars="200"/>
        <w:jc w:val="left"/>
      </w:pPr>
      <w:r>
        <w:rPr>
          <w:rFonts w:ascii="SimSun" w:hAnsi="SimSun" w:cs="SimSun" w:eastAsia="SimSun"/>
          <w:color w:val="000000"/>
          <w:sz w:val="21"/>
        </w:rPr>
        <w:t>（2）交款方式：运营商将履约保证金汇入校方指定的银行账号。</w:t>
      </w:r>
    </w:p>
    <w:p>
      <w:pPr>
        <w:wordWrap w:val="off"/>
        <w:spacing w:lineRule="exact" w:line="378"/>
        <w:ind w:firstLineChars="100"/>
        <w:jc w:val="left"/>
      </w:pPr>
      <w:r>
        <w:rPr>
          <w:rFonts w:ascii="SimSun" w:hAnsi="SimSun" w:cs="SimSun" w:eastAsia="SimSun"/>
          <w:b w:val="true"/>
          <w:color w:val="000000"/>
          <w:sz w:val="21"/>
        </w:rPr>
        <w:t>八、运营商权利与义务：</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（1）运营商须按国家和地方法律规定，确保规范用工，要对所属范围内员工的职业道德、业务素质、安全健康等进行全面管理，从业人员应规范服务程序，做到礼貌用语、文明服务，尊重师生。</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（2）运营商方案的确定、实施或变动，必须经校方同意方可实施。运营商必须接受校方的监督、检查与管理，积极配合学校、后勤工作，不得超范围经营。</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（3）运营商在运营期间，须严格遵守国家、省和行业协会有关法律法规，建立健全管理机构和管理制度。</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（4）项目下所产生的全部投入与合作期限内的运行费用由运营商承担。运营商自主经营、自负盈亏、自负安全责任，涉及的安全、投入、管理等所有费用及劳动纠纷等风险均由运营商负责。</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5）在合同期限内，项目下的全部资产由运营商所有，但未经校方同意，不得转让、变卖、抵押给校方以外的任何第三人，不准以任何理由拆除、毁坏和转移合作项目下的资产。到期后由校方根据现场实际情况采取另行招标或其他合作方式。</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6）在合同期限内，运营商拥有合作项目的经营权，具有向车辆使用者收取车辆使用费的权利，并履行提供安全、优质、稳定的服务和维护、保养、维修车辆使之正常运转的义务。合作期限内，因运营商责任范围内原因造成校方及师生人身财产损害的，由运营商承担全部法律责任。合作期满后，运营商上述权利及责任义务自动终止。</w:t>
      </w:r>
    </w:p>
    <w:p>
      <w:pPr>
        <w:wordWrap w:val="off"/>
        <w:spacing w:lineRule="exact" w:line="378"/>
        <w:ind w:firstLineChars="200"/>
        <w:jc w:val="left"/>
      </w:pPr>
      <w:r>
        <w:rPr>
          <w:rFonts w:ascii="SimSun" w:hAnsi="SimSun" w:cs="SimSun" w:eastAsia="SimSun"/>
          <w:color w:val="000000"/>
          <w:sz w:val="21"/>
        </w:rPr>
        <w:t>（7）运营商需为每辆车购买保险，提供用户保险方案，保障师生用车安全。</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（8）运营商进入校园的车辆，承诺融入校方指定管理平台，配合校方实现车辆管理智能化。</w:t>
      </w:r>
    </w:p>
    <w:p>
      <w:pPr>
        <w:wordWrap w:val="off"/>
        <w:spacing w:lineRule="exact" w:line="378"/>
        <w:ind w:firstLineChars="100"/>
        <w:jc w:val="left"/>
      </w:pPr>
      <w:r>
        <w:rPr>
          <w:rFonts w:ascii="SimSun" w:hAnsi="SimSun" w:cs="SimSun" w:eastAsia="SimSun"/>
          <w:color w:val="000000"/>
          <w:sz w:val="21"/>
        </w:rPr>
        <w:t>▲</w:t>
      </w:r>
      <w:r>
        <w:rPr>
          <w:rFonts w:ascii="SimSun" w:hAnsi="SimSun" w:cs="SimSun" w:eastAsia="SimSun"/>
          <w:b w:val="true"/>
          <w:color w:val="000000"/>
          <w:sz w:val="21"/>
        </w:rPr>
        <w:t>九、合同变更、解除与终止注意事项：</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（1）合同的任何改变、修订、增补或删除，须经双方协商达成一致，此后形成的文件与合同具有相同的法律约束力。</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（2）合同履行期届满自动终止，双方须结清费用，到期后由校方根据现场实际情况采取另行招标或其他合作方式。如运营商在校服务期间如出现以下情形之一，校方有权单方面中止合同，并不再续签。</w:t>
      </w:r>
    </w:p>
    <w:p>
      <w:pPr>
        <w:wordWrap w:val="off"/>
        <w:spacing w:lineRule="exact" w:line="378"/>
        <w:ind w:firstLineChars="200"/>
        <w:jc w:val="left"/>
      </w:pPr>
      <w:r>
        <w:rPr>
          <w:rFonts w:ascii="SimSun" w:hAnsi="SimSun" w:cs="SimSun" w:eastAsia="SimSun"/>
          <w:color w:val="000000"/>
          <w:sz w:val="21"/>
        </w:rPr>
        <w:t>1.运营商在经营期间，不服从校方管理，师生投诉率高，导致校园安全受影响，校园秩序混乱等不符合要求的情况。</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2.运营商在经营期间违反国家、湖州市及学校相关规章制度。</w:t>
      </w:r>
    </w:p>
    <w:p>
      <w:pPr>
        <w:wordWrap w:val="off"/>
        <w:spacing w:lineRule="exact" w:line="378"/>
        <w:ind w:firstLineChars="200"/>
        <w:jc w:val="left"/>
      </w:pPr>
      <w:r>
        <w:rPr>
          <w:rFonts w:ascii="SimSun" w:hAnsi="SimSun" w:cs="SimSun" w:eastAsia="SimSun"/>
          <w:color w:val="000000"/>
          <w:sz w:val="21"/>
        </w:rPr>
        <w:t>3.运营商经营期间从事非法活动，损害公共利益。</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4.运营商因不正当经营而产生经济纠纷给校方造成重大影响。</w:t>
      </w:r>
    </w:p>
    <w:p>
      <w:pPr>
        <w:wordWrap w:val="off"/>
        <w:spacing w:lineRule="exact" w:line="378"/>
        <w:ind w:firstLineChars="200"/>
        <w:jc w:val="left"/>
      </w:pPr>
      <w:r>
        <w:rPr>
          <w:rFonts w:ascii="SimSun" w:hAnsi="SimSun" w:cs="SimSun" w:eastAsia="SimSun"/>
          <w:color w:val="000000"/>
          <w:sz w:val="21"/>
        </w:rPr>
        <w:t>5.运营商经营期间发生重大安全责任事故，给校方或师生造成较大财产损失。</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6.运营商违反服务合同。</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 xml:space="preserve"> 7.其他违法违规情形。</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如出现上述情况，运营商须在校方规定的时间内无条件撤场，不能因人员成本、设备设施等为由占据场地。退出时恢复场地原貌，对未经同意留存的物品，校方有权处置。若服务商因自身原因，主动提出退出的，校方同意后方可退出。履约保证金不予退还。</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w:t>
      </w:r>
      <w:r>
        <w:rPr>
          <w:rFonts w:ascii="SimSun" w:hAnsi="SimSun" w:cs="SimSun" w:eastAsia="SimSun"/>
          <w:b w:val="true"/>
          <w:color w:val="000000"/>
          <w:sz w:val="21"/>
        </w:rPr>
        <w:t>十、违约责任处理和争议解决办法：</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（1）校方违约与处置</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校方的违约行为按合同约定或法律法规执行。</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（2）运营商违约与处置</w:t>
      </w:r>
    </w:p>
    <w:p>
      <w:pPr>
        <w:wordWrap w:val="off"/>
        <w:spacing w:lineRule="exact" w:line="378"/>
        <w:ind w:firstLineChars="100"/>
        <w:jc w:val="left"/>
      </w:pPr>
      <w:r>
        <w:rPr>
          <w:rFonts w:ascii="SimSun" w:hAnsi="SimSun" w:cs="SimSun" w:eastAsia="SimSun"/>
          <w:color w:val="000000"/>
          <w:sz w:val="21"/>
        </w:rPr>
        <w:t>运营商生下列违约情形，校方可以根据合同约定追究运营商的违约责任，视情况扣除人民币保证金1000至10000元不等。若违约情况严重影响到项目的正常运营或公共服务的情况，校方有权解除合同，保证金不予退还，并要求运营商承担相应的法律责任。</w:t>
      </w:r>
    </w:p>
    <w:p>
      <w:pPr>
        <w:wordWrap w:val="off"/>
        <w:spacing w:lineRule="exact" w:line="378"/>
        <w:ind w:firstLineChars="100"/>
        <w:jc w:val="left"/>
      </w:pPr>
      <w:r>
        <w:rPr>
          <w:rFonts w:ascii="宋体" w:hAnsi="宋体" w:cs="宋体" w:eastAsia="宋体"/>
          <w:b w:val="true"/>
          <w:color w:val="000000"/>
          <w:sz w:val="21"/>
        </w:rPr>
        <w:t/>
      </w:r>
      <w:r>
        <w:rPr>
          <w:rFonts w:ascii="宋体" w:hAnsi="宋体" w:cs="宋体" w:eastAsia="宋体"/>
          <w:b w:val="true"/>
          <w:color w:val="000000"/>
          <w:sz w:val="21"/>
        </w:rPr>
        <w:t> </w:t>
      </w:r>
      <w:r>
        <w:rPr>
          <w:rFonts w:ascii="SimSun" w:hAnsi="SimSun" w:cs="SimSun" w:eastAsia="SimSun"/>
          <w:color w:val="000000"/>
          <w:sz w:val="21"/>
        </w:rPr>
        <w:t>1.车辆投放违约</w:t>
      </w:r>
    </w:p>
    <w:p>
      <w:pPr>
        <w:wordWrap w:val="off"/>
        <w:spacing w:lineRule="exact" w:line="378"/>
        <w:ind w:firstLineChars="200"/>
        <w:jc w:val="left"/>
      </w:pPr>
      <w:r>
        <w:rPr>
          <w:rFonts w:ascii="SimSun" w:hAnsi="SimSun" w:cs="SimSun" w:eastAsia="SimSun"/>
          <w:color w:val="000000"/>
          <w:sz w:val="21"/>
        </w:rPr>
        <w:t>a 投放数量不足：未按照合同约定的数量向校方投放共享自行车和共享电动车。</w:t>
      </w:r>
    </w:p>
    <w:p>
      <w:pPr>
        <w:wordWrap w:val="off"/>
        <w:spacing w:lineRule="exact" w:line="378"/>
        <w:ind w:firstLineChars="200"/>
        <w:jc w:val="left"/>
      </w:pPr>
      <w:r>
        <w:rPr>
          <w:rFonts w:ascii="SimSun" w:hAnsi="SimSun" w:cs="SimSun" w:eastAsia="SimSun"/>
          <w:color w:val="000000"/>
          <w:sz w:val="21"/>
        </w:rPr>
        <w:t>b 投放时间延迟：未在规定的时间内完成车辆投放，影响共享自行车和共享电动车项目的正常运营计划。</w:t>
      </w:r>
    </w:p>
    <w:p>
      <w:pPr>
        <w:wordWrap w:val="off"/>
        <w:spacing w:lineRule="exact" w:line="378"/>
        <w:ind w:firstLineChars="200"/>
        <w:jc w:val="left"/>
      </w:pPr>
      <w:r>
        <w:rPr>
          <w:rFonts w:ascii="SimSun" w:hAnsi="SimSun" w:cs="SimSun" w:eastAsia="SimSun"/>
          <w:color w:val="000000"/>
          <w:sz w:val="21"/>
        </w:rPr>
        <w:t>c 车辆质量不符：投放的车辆质量未达到合同约定的标准，存在安全隐患或性能问题。如车辆的制动性能不佳、电池续航里程不足、零部件易损坏等；或车辆的外观有明显瑕疵、损坏，影响正常使用和用户体验。</w:t>
      </w:r>
    </w:p>
    <w:p>
      <w:pPr>
        <w:wordWrap w:val="off"/>
        <w:spacing w:lineRule="exact" w:line="378"/>
        <w:ind w:firstLineChars="100"/>
        <w:jc w:val="left"/>
      </w:pPr>
      <w:r>
        <w:rPr>
          <w:rFonts w:ascii="宋体" w:hAnsi="宋体" w:cs="宋体" w:eastAsia="宋体"/>
          <w:b w:val="true"/>
          <w:color w:val="000000"/>
          <w:sz w:val="21"/>
        </w:rPr>
        <w:t/>
      </w:r>
      <w:r>
        <w:rPr>
          <w:rFonts w:ascii="宋体" w:hAnsi="宋体" w:cs="宋体" w:eastAsia="宋体"/>
          <w:b w:val="true"/>
          <w:color w:val="000000"/>
          <w:sz w:val="21"/>
        </w:rPr>
        <w:t> </w:t>
      </w:r>
      <w:r>
        <w:rPr>
          <w:rFonts w:ascii="SimSun" w:hAnsi="SimSun" w:cs="SimSun" w:eastAsia="SimSun"/>
          <w:color w:val="000000"/>
          <w:sz w:val="21"/>
        </w:rPr>
        <w:t>2.服务与维护违约</w:t>
      </w:r>
    </w:p>
    <w:p>
      <w:pPr>
        <w:wordWrap w:val="off"/>
        <w:spacing w:lineRule="exact" w:line="378"/>
        <w:ind w:firstLineChars="200"/>
        <w:jc w:val="left"/>
      </w:pPr>
      <w:r>
        <w:rPr>
          <w:rFonts w:ascii="SimSun" w:hAnsi="SimSun" w:cs="SimSun" w:eastAsia="SimSun"/>
          <w:color w:val="000000"/>
          <w:sz w:val="21"/>
        </w:rPr>
        <w:t>a 日常维护不到位：未能按照合同要求对共享自行车和电动车进行定期的检查、保养、维修等日常维护工作，导致车辆故障率高、可用性降低。如未及时更换磨损的轮胎、刹车部件，或者没有对车辆的电气系统进行定期检测。</w:t>
      </w:r>
    </w:p>
    <w:p>
      <w:pPr>
        <w:wordWrap w:val="off"/>
        <w:spacing w:lineRule="exact" w:line="378"/>
        <w:ind w:firstLineChars="200"/>
        <w:jc w:val="left"/>
      </w:pPr>
      <w:r>
        <w:rPr>
          <w:rFonts w:ascii="SimSun" w:hAnsi="SimSun" w:cs="SimSun" w:eastAsia="SimSun"/>
          <w:color w:val="000000"/>
          <w:sz w:val="21"/>
        </w:rPr>
        <w:t>b 故障处理不及时：在接到车辆故障报告后，没有在约定的时间内响应并处理故障，使得故障车辆长时间无法投入使用，影响用户的使用体验。如约定在24小时内处理故障，但运营商拖延了数天甚至更长时间才处理。</w:t>
      </w:r>
    </w:p>
    <w:p>
      <w:pPr>
        <w:wordWrap w:val="off"/>
        <w:spacing w:lineRule="exact" w:line="378"/>
        <w:ind w:firstLineChars="100"/>
        <w:jc w:val="left"/>
      </w:pPr>
      <w:r>
        <w:rPr>
          <w:rFonts w:ascii="宋体" w:hAnsi="宋体" w:cs="宋体" w:eastAsia="宋体"/>
          <w:b w:val="true"/>
          <w:color w:val="000000"/>
          <w:sz w:val="21"/>
        </w:rPr>
        <w:t/>
      </w:r>
      <w:r>
        <w:rPr>
          <w:rFonts w:ascii="宋体" w:hAnsi="宋体" w:cs="宋体" w:eastAsia="宋体"/>
          <w:b w:val="true"/>
          <w:color w:val="000000"/>
          <w:sz w:val="21"/>
        </w:rPr>
        <w:t> </w:t>
      </w:r>
      <w:r>
        <w:rPr>
          <w:rFonts w:ascii="SimSun" w:hAnsi="SimSun" w:cs="SimSun" w:eastAsia="SimSun"/>
          <w:color w:val="000000"/>
          <w:sz w:val="21"/>
        </w:rPr>
        <w:t>3.信息管理违约</w:t>
      </w:r>
    </w:p>
    <w:p>
      <w:pPr>
        <w:wordWrap w:val="off"/>
        <w:spacing w:lineRule="exact" w:line="378"/>
        <w:ind w:firstLineChars="200"/>
        <w:jc w:val="left"/>
      </w:pPr>
      <w:r>
        <w:rPr>
          <w:rFonts w:ascii="SimSun" w:hAnsi="SimSun" w:cs="SimSun" w:eastAsia="SimSun"/>
          <w:color w:val="000000"/>
          <w:sz w:val="21"/>
        </w:rPr>
        <w:t>a 用户信息泄露：未妥善保护用户的个人信息，导致用户信息被泄露或滥用，侵犯了用户的隐私权。如运营商的信息系统存在安全漏洞，被黑客攻击导致用户信息被盗取。</w:t>
      </w:r>
    </w:p>
    <w:p>
      <w:pPr>
        <w:wordWrap w:val="off"/>
        <w:spacing w:lineRule="exact" w:line="378"/>
        <w:ind w:firstLineChars="200"/>
        <w:jc w:val="left"/>
      </w:pPr>
      <w:r>
        <w:rPr>
          <w:rFonts w:ascii="SimSun" w:hAnsi="SimSun" w:cs="SimSun" w:eastAsia="SimSun"/>
          <w:color w:val="000000"/>
          <w:sz w:val="21"/>
        </w:rPr>
        <w:t>b 数据提供不准确：未能按照合同约定向校方提供准确、完整的车辆使用数据、运营数据等信息。比如，提供的车辆位置信息不准确，导致校方无法准确掌握车辆的分布情况。</w:t>
      </w:r>
    </w:p>
    <w:p>
      <w:pPr>
        <w:wordWrap w:val="off"/>
        <w:spacing w:lineRule="exact" w:line="378"/>
        <w:ind w:firstLineChars="100"/>
        <w:jc w:val="left"/>
      </w:pPr>
      <w:r>
        <w:rPr>
          <w:rFonts w:ascii="宋体" w:hAnsi="宋体" w:cs="宋体" w:eastAsia="宋体"/>
          <w:b w:val="true"/>
          <w:color w:val="000000"/>
          <w:sz w:val="21"/>
        </w:rPr>
        <w:t/>
      </w:r>
      <w:r>
        <w:rPr>
          <w:rFonts w:ascii="宋体" w:hAnsi="宋体" w:cs="宋体" w:eastAsia="宋体"/>
          <w:b w:val="true"/>
          <w:color w:val="000000"/>
          <w:sz w:val="21"/>
        </w:rPr>
        <w:t> </w:t>
      </w:r>
      <w:r>
        <w:rPr>
          <w:rFonts w:ascii="SimSun" w:hAnsi="SimSun" w:cs="SimSun" w:eastAsia="SimSun"/>
          <w:color w:val="000000"/>
          <w:sz w:val="21"/>
        </w:rPr>
        <w:t>4.其他方面违约</w:t>
      </w:r>
    </w:p>
    <w:p>
      <w:pPr>
        <w:wordWrap w:val="off"/>
        <w:spacing w:lineRule="exact" w:line="378"/>
        <w:ind w:firstLineChars="200"/>
        <w:jc w:val="left"/>
      </w:pPr>
      <w:r>
        <w:rPr>
          <w:rFonts w:ascii="SimSun" w:hAnsi="SimSun" w:cs="SimSun" w:eastAsia="SimSun"/>
          <w:color w:val="000000"/>
          <w:sz w:val="21"/>
        </w:rPr>
        <w:t>a 违反合作约定：在合作期间，运营商未经校方同意，与第三方合作。</w:t>
      </w:r>
    </w:p>
    <w:p>
      <w:pPr>
        <w:wordWrap w:val="off"/>
        <w:spacing w:lineRule="exact" w:line="378"/>
        <w:ind w:firstLineChars="200"/>
        <w:jc w:val="left"/>
      </w:pPr>
      <w:r>
        <w:rPr>
          <w:rFonts w:ascii="SimSun" w:hAnsi="SimSun" w:cs="SimSun" w:eastAsia="SimSun"/>
          <w:color w:val="000000"/>
          <w:sz w:val="21"/>
        </w:rPr>
        <w:t>b 擅自变更合同条款：未经双方协商一致，运营商擅自变更合同中的重要条款，如服务费用、合作期限等。</w:t>
      </w:r>
    </w:p>
    <w:p>
      <w:pPr>
        <w:wordWrap w:val="off"/>
        <w:spacing w:lineRule="exact" w:line="378"/>
        <w:ind w:firstLineChars="200"/>
        <w:jc w:val="left"/>
      </w:pPr>
      <w:r>
        <w:rPr>
          <w:rFonts w:ascii="SimSun" w:hAnsi="SimSun" w:cs="SimSun" w:eastAsia="SimSun"/>
          <w:color w:val="000000"/>
          <w:sz w:val="21"/>
        </w:rPr>
        <w:t>c 不配合政府监管：未按照政府相关部门的要求进行车辆投放、管理等工作，导致项目无法正常进行。</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4.其他违约情形。</w:t>
      </w:r>
    </w:p>
    <w:p>
      <w:pPr>
        <w:wordWrap w:val="off"/>
        <w:spacing w:lineRule="exact" w:line="378"/>
        <w:ind w:firstLineChars="100"/>
        <w:jc w:val="left"/>
      </w:pPr>
      <w:r>
        <w:rPr>
          <w:rFonts w:ascii="宋体" w:hAnsi="宋体" w:cs="宋体" w:eastAsia="宋体"/>
          <w:b w:val="true"/>
          <w:color w:val="000000"/>
          <w:sz w:val="21"/>
        </w:rPr>
        <w:t/>
      </w:r>
      <w:r>
        <w:rPr>
          <w:rFonts w:ascii="宋体" w:hAnsi="宋体" w:cs="宋体" w:eastAsia="宋体"/>
          <w:b w:val="true"/>
          <w:color w:val="000000"/>
          <w:sz w:val="21"/>
        </w:rPr>
        <w:t> </w:t>
      </w:r>
      <w:r>
        <w:rPr>
          <w:rFonts w:ascii="SimSun" w:hAnsi="SimSun" w:cs="SimSun" w:eastAsia="SimSun"/>
          <w:color w:val="000000"/>
          <w:sz w:val="21"/>
        </w:rPr>
        <w:t>▲</w:t>
      </w:r>
      <w:r>
        <w:rPr>
          <w:rFonts w:ascii="SimSun" w:hAnsi="SimSun" w:cs="SimSun" w:eastAsia="SimSun"/>
          <w:b w:val="true"/>
          <w:color w:val="000000"/>
          <w:sz w:val="21"/>
        </w:rPr>
        <w:t>十一、增值服务</w:t>
      </w:r>
    </w:p>
    <w:p>
      <w:pPr>
        <w:wordWrap w:val="off"/>
        <w:spacing w:lineRule="exact" w:line="378"/>
        <w:ind w:firstLineChars="100"/>
        <w:jc w:val="left"/>
      </w:pPr>
      <w:r>
        <w:rPr>
          <w:rFonts w:ascii="宋体" w:hAnsi="宋体" w:cs="宋体" w:eastAsia="宋体"/>
          <w:color w:val="000000"/>
          <w:sz w:val="21"/>
        </w:rPr>
        <w:t/>
      </w:r>
      <w:r>
        <w:rPr>
          <w:rFonts w:ascii="宋体" w:hAnsi="宋体" w:cs="宋体" w:eastAsia="宋体"/>
          <w:color w:val="000000"/>
          <w:sz w:val="21"/>
        </w:rPr>
        <w:t> </w:t>
      </w:r>
      <w:r>
        <w:rPr>
          <w:rFonts w:ascii="SimSun" w:hAnsi="SimSun" w:cs="SimSun" w:eastAsia="SimSun"/>
          <w:color w:val="000000"/>
          <w:sz w:val="21"/>
        </w:rPr>
        <w:t>免费为学校提供但不限于如下一项或几项增值服务：</w:t>
      </w:r>
    </w:p>
    <w:p>
      <w:pPr>
        <w:wordWrap w:val="off"/>
        <w:spacing w:lineRule="exact" w:line="378"/>
        <w:ind w:firstLineChars="200"/>
        <w:jc w:val="left"/>
      </w:pPr>
      <w:r>
        <w:rPr>
          <w:rFonts w:ascii="SimSun" w:hAnsi="SimSun" w:cs="SimSun" w:eastAsia="SimSun"/>
          <w:color w:val="000000"/>
          <w:sz w:val="21"/>
        </w:rPr>
        <w:t>（1）在新生报到、毕业生离校、大型活动等期间免费提供人员和车辆支持。</w:t>
      </w:r>
    </w:p>
    <w:p>
      <w:pPr>
        <w:wordWrap w:val="off"/>
        <w:spacing w:lineRule="exact" w:line="378"/>
        <w:ind w:firstLineChars="200"/>
        <w:jc w:val="left"/>
      </w:pPr>
      <w:r>
        <w:rPr>
          <w:rFonts w:ascii="SimSun" w:hAnsi="SimSun" w:cs="SimSun" w:eastAsia="SimSun"/>
          <w:color w:val="000000"/>
          <w:sz w:val="21"/>
        </w:rPr>
        <w:t>（2）推出新生开学优惠骑行周活动。</w:t>
      </w:r>
    </w:p>
    <w:p>
      <w:pPr>
        <w:wordWrap w:val="off"/>
        <w:spacing w:lineRule="exact" w:line="378"/>
        <w:ind w:firstLineChars="200"/>
        <w:jc w:val="left"/>
      </w:pPr>
      <w:r>
        <w:rPr>
          <w:rFonts w:ascii="SimSun" w:hAnsi="SimSun" w:cs="SimSun" w:eastAsia="SimSun"/>
          <w:color w:val="000000"/>
          <w:sz w:val="21"/>
        </w:rPr>
        <w:t>（3）为家庭经济困难学生提供一定数量的共享单车免费骑行卡。</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SimSun" w:hAnsi="SimSun" w:cs="SimSun" w:eastAsia="SimSun"/>
          <w:color w:val="000000"/>
          <w:sz w:val="21"/>
        </w:rPr>
        <w:t>1.运维保障承诺：a.建立车辆日常巡检机制，每月完成所有投放车辆的安全排查与性能维护，确保校园内车辆可用率高。b.</w:t>
      </w:r>
      <w:r>
        <w:rPr>
          <w:rFonts w:ascii="宋体" w:hAnsi="宋体" w:cs="宋体" w:eastAsia="宋体"/>
          <w:color w:val="000000"/>
          <w:sz w:val="21"/>
        </w:rPr>
        <w:t>为校园安全管理部门开通校内运维账户(25人以内)，便于车辆管理。</w:t>
      </w:r>
    </w:p>
    <w:p>
      <w:pPr>
        <w:wordWrap w:val="off"/>
        <w:spacing w:lineRule="exact" w:line="378"/>
        <w:jc w:val="left"/>
      </w:pPr>
      <w:r>
        <w:rPr>
          <w:rFonts w:ascii="SimSun" w:hAnsi="SimSun" w:cs="SimSun" w:eastAsia="SimSun"/>
          <w:color w:val="000000"/>
          <w:sz w:val="21"/>
        </w:rPr>
        <w:t>2.安全管理承诺：a.</w:t>
      </w:r>
      <w:r>
        <w:rPr>
          <w:rFonts w:ascii="SimSun" w:hAnsi="SimSun" w:cs="SimSun" w:eastAsia="SimSun"/>
          <w:color w:val="000000"/>
          <w:sz w:val="21"/>
        </w:rPr>
        <w:t>依法依规用户信息等严格保密，未经允许不得向任何单位（个人）泄露。b.</w:t>
      </w:r>
      <w:r>
        <w:rPr>
          <w:rFonts w:ascii="SimSun" w:hAnsi="SimSun" w:cs="SimSun" w:eastAsia="SimSun"/>
          <w:color w:val="000000"/>
          <w:sz w:val="21"/>
        </w:rPr>
        <w:t>为每辆共享车辆配备合规保险，联合学校划定专属停车区域，安排专人每日整理校园内违规停放车辆，保障校园通行秩序安保部提供。</w:t>
      </w:r>
    </w:p>
    <w:p>
      <w:pPr>
        <w:wordWrap w:val="off"/>
        <w:spacing w:lineRule="exact" w:line="378"/>
        <w:jc w:val="left"/>
      </w:pPr>
      <w:r>
        <w:rPr>
          <w:rFonts w:ascii="SimSun" w:hAnsi="SimSun" w:cs="SimSun" w:eastAsia="SimSun"/>
          <w:color w:val="000000"/>
          <w:sz w:val="21"/>
        </w:rPr>
        <w:t>3.运营商提供的免费和优惠服务项目按照约定均在合同期内实施。</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lineRule="exact" w:line="378"/>
        <w:jc w:val="left"/>
      </w:pPr>
      <w:r>
        <w:rPr>
          <w:rFonts w:ascii="SimSun" w:hAnsi="SimSun" w:cs="SimSun" w:eastAsia="SimSun"/>
          <w:color w:val="000000"/>
          <w:sz w:val="21"/>
        </w:rPr>
        <w:t>1.引入运营商3家，总计1800辆共享电动自行车。运营商按中标共享电动自行车的数1:1比例投放相同数量的共享自行车，共享电动自行车和共享自行车均不收管理费。运营服务期3年，每年投放车辆数量根据需求适度调整。按照师生出行需求，科学规划校园内服务点位，覆盖各教学楼、宿舍、食堂、图书馆、田径场等场所，确保与学校整体规划相匹配，不投放商业性质广告。运营的共享自行车与共享电动自行车需与校外相通，便于师生出行。</w:t>
      </w:r>
    </w:p>
    <w:p>
      <w:pPr>
        <w:wordWrap w:val="off"/>
        <w:spacing w:lineRule="exact" w:line="378"/>
        <w:jc w:val="left"/>
      </w:pPr>
      <w:r>
        <w:rPr>
          <w:rFonts w:ascii="SimSun" w:hAnsi="SimSun" w:cs="SimSun" w:eastAsia="SimSun"/>
          <w:color w:val="000000"/>
          <w:sz w:val="21"/>
        </w:rPr>
        <w:t>2.样品作为验收依据之一。</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乙方在收到签订合同邀约后7天内向甲方交纳</w:t>
      </w:r>
      <w:r>
        <w:rPr>
          <w:rFonts w:ascii="宋体" w:hAnsi="宋体" w:cs="宋体" w:eastAsia="宋体"/>
          <w:color w:val="000000"/>
          <w:sz w:val="21"/>
          <w:u w:val="single"/>
        </w:rPr>
        <w:t>100,000.00</w:t>
      </w:r>
      <w:r>
        <w:rPr>
          <w:rFonts w:ascii="宋体" w:hAnsi="宋体" w:cs="宋体" w:eastAsia="宋体"/>
          <w:color w:val="000000"/>
          <w:sz w:val="21"/>
        </w:rPr>
        <w:t>元的履约保证金。服务期届满后无发现有服务质量问题和其他纠纷的，全额无息退还。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本项目不收取管理费，所有车辆投入及运营费用均由中标单位承担。</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lineRule="exact" w:line="378"/>
        <w:jc w:val="left"/>
      </w:pPr>
      <w:r>
        <w:rPr>
          <w:rFonts w:ascii="SimSun" w:hAnsi="SimSun" w:cs="SimSun" w:eastAsia="SimSun"/>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共享电动自行车临时用车单次报价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起步价报价不高于0.8元/15分钟。</w:t>
            </w:r>
          </w:p>
          <w:p>
            <w:pPr>
              <w:wordWrap w:val="off"/>
              <w:spacing w:before="0" w:after="0" w:lineRule="exact" w:line="378"/>
              <w:jc w:val="left"/>
            </w:pPr>
            <w:r>
              <w:rPr>
                <w:rFonts w:ascii="宋体" w:hAnsi="宋体" w:cs="宋体" w:eastAsia="宋体"/>
                <w:color w:val="000000"/>
                <w:sz w:val="21"/>
              </w:rPr>
              <w:t>在报价允许范围内，所有投标人中报价的平均值（四舍五入取小数点后2位）为评标基准价，投标人的价格分按照下列公式计算：</w:t>
            </w:r>
          </w:p>
          <w:p>
            <w:pPr>
              <w:wordWrap w:val="off"/>
              <w:spacing w:before="0" w:after="0" w:lineRule="exact" w:line="378"/>
              <w:jc w:val="left"/>
            </w:pPr>
            <w:r>
              <w:rPr>
                <w:rFonts w:ascii="宋体" w:hAnsi="宋体" w:cs="宋体" w:eastAsia="宋体"/>
                <w:color w:val="000000"/>
                <w:sz w:val="21"/>
              </w:rPr>
              <w:t>K=（有效报价—评标基准价）÷评标基准价*100％</w:t>
            </w:r>
          </w:p>
          <w:p>
            <w:pPr>
              <w:wordWrap w:val="off"/>
              <w:spacing w:before="0" w:after="0" w:lineRule="exact" w:line="378"/>
              <w:jc w:val="left"/>
            </w:pPr>
            <w:r>
              <w:rPr>
                <w:rFonts w:ascii="宋体" w:hAnsi="宋体" w:cs="宋体" w:eastAsia="宋体"/>
                <w:color w:val="000000"/>
                <w:sz w:val="21"/>
              </w:rPr>
              <w:t>当K值等于零时，得满分25分；</w:t>
            </w:r>
          </w:p>
          <w:p>
            <w:pPr>
              <w:wordWrap w:val="off"/>
              <w:spacing w:before="0" w:after="0" w:lineRule="exact" w:line="378"/>
              <w:jc w:val="left"/>
            </w:pPr>
            <w:r>
              <w:rPr>
                <w:rFonts w:ascii="宋体" w:hAnsi="宋体" w:cs="宋体" w:eastAsia="宋体"/>
                <w:color w:val="000000"/>
                <w:sz w:val="21"/>
              </w:rPr>
              <w:t>当K值大于零时，K值每增1％，在总分上扣0.6分；</w:t>
            </w:r>
          </w:p>
          <w:p>
            <w:pPr>
              <w:wordWrap w:val="off"/>
              <w:spacing w:before="0" w:after="0" w:lineRule="exact" w:line="378"/>
              <w:jc w:val="left"/>
            </w:pPr>
            <w:r>
              <w:rPr>
                <w:rFonts w:ascii="宋体" w:hAnsi="宋体" w:cs="宋体" w:eastAsia="宋体"/>
                <w:color w:val="000000"/>
                <w:sz w:val="21"/>
              </w:rPr>
              <w:t>当K值小于零时，K值每减1％，在总分上扣0.5分；</w:t>
            </w:r>
          </w:p>
          <w:p>
            <w:pPr>
              <w:wordWrap w:val="off"/>
              <w:spacing w:before="0" w:after="0" w:lineRule="exact" w:line="378"/>
              <w:jc w:val="left"/>
            </w:pPr>
            <w:r>
              <w:rPr>
                <w:rFonts w:ascii="宋体" w:hAnsi="宋体" w:cs="宋体" w:eastAsia="宋体"/>
                <w:color w:val="000000"/>
                <w:sz w:val="21"/>
              </w:rPr>
              <w:t>超出15分钟，以5分钟为单位计费（不满5分钟按5分钟计费），按中标价的三分之一收费。注：价格浮动精确到0.01元，平均值精确到小数点后两位，按四舍五入计。报价高于最高限价为投标无效。</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共享电动自行车骑行卡办卡报价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报价不高于0.5元/15分钟。</w:t>
            </w:r>
          </w:p>
          <w:p>
            <w:pPr>
              <w:wordWrap w:val="off"/>
              <w:spacing w:before="0" w:after="0" w:lineRule="exact" w:line="378"/>
              <w:jc w:val="left"/>
            </w:pPr>
            <w:r>
              <w:rPr>
                <w:rFonts w:ascii="宋体" w:hAnsi="宋体" w:cs="宋体" w:eastAsia="宋体"/>
                <w:color w:val="000000"/>
                <w:sz w:val="21"/>
              </w:rPr>
              <w:t>在报价允许范围内，所有投标人中报价的平均值（四舍五入取小数点后2位）为评标基准价，投标人的价格分按照下列公式计算：</w:t>
            </w:r>
          </w:p>
          <w:p>
            <w:pPr>
              <w:wordWrap w:val="off"/>
              <w:spacing w:before="0" w:after="0" w:lineRule="exact" w:line="378"/>
              <w:jc w:val="left"/>
            </w:pPr>
            <w:r>
              <w:rPr>
                <w:rFonts w:ascii="宋体" w:hAnsi="宋体" w:cs="宋体" w:eastAsia="宋体"/>
                <w:color w:val="000000"/>
                <w:sz w:val="21"/>
              </w:rPr>
              <w:t>K=（有效报价—评标基准价）÷评标基准价*100％</w:t>
            </w:r>
          </w:p>
          <w:p>
            <w:pPr>
              <w:wordWrap w:val="off"/>
              <w:spacing w:before="0" w:after="0" w:lineRule="exact" w:line="378"/>
              <w:jc w:val="left"/>
            </w:pPr>
            <w:r>
              <w:rPr>
                <w:rFonts w:ascii="宋体" w:hAnsi="宋体" w:cs="宋体" w:eastAsia="宋体"/>
                <w:color w:val="000000"/>
                <w:sz w:val="21"/>
              </w:rPr>
              <w:t>当K值等于零时，得满分25分；</w:t>
            </w:r>
          </w:p>
          <w:p>
            <w:pPr>
              <w:wordWrap w:val="off"/>
              <w:spacing w:before="0" w:after="0" w:lineRule="exact" w:line="378"/>
              <w:jc w:val="left"/>
            </w:pPr>
            <w:r>
              <w:rPr>
                <w:rFonts w:ascii="宋体" w:hAnsi="宋体" w:cs="宋体" w:eastAsia="宋体"/>
                <w:color w:val="000000"/>
                <w:sz w:val="21"/>
              </w:rPr>
              <w:t>当K值大于零时，K值每增1％，在总分上扣0.6分；</w:t>
            </w:r>
          </w:p>
          <w:p>
            <w:pPr>
              <w:wordWrap w:val="off"/>
              <w:spacing w:before="0" w:after="0" w:lineRule="exact" w:line="378"/>
              <w:jc w:val="left"/>
            </w:pPr>
            <w:r>
              <w:rPr>
                <w:rFonts w:ascii="宋体" w:hAnsi="宋体" w:cs="宋体" w:eastAsia="宋体"/>
                <w:color w:val="000000"/>
                <w:sz w:val="21"/>
              </w:rPr>
              <w:t>当K值小于零时，K值每减1％，在总分上扣0.5分；</w:t>
            </w:r>
          </w:p>
          <w:p>
            <w:pPr>
              <w:wordWrap w:val="off"/>
              <w:spacing w:before="0" w:after="0" w:lineRule="exact" w:line="378"/>
              <w:jc w:val="left"/>
            </w:pPr>
            <w:r>
              <w:rPr>
                <w:rFonts w:ascii="宋体" w:hAnsi="宋体" w:cs="宋体" w:eastAsia="宋体"/>
                <w:color w:val="000000"/>
                <w:sz w:val="21"/>
              </w:rPr>
              <w:t>超出15分钟，以5分钟为单位计费（不满5分钟按5分钟计费），按中标价的三分之一收费。注：价格浮动精确到0.01元，平均值精确到小数点后两位，按四舍五入计。报价高于最高限价为投标无效。</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师生身份认证，认证后享受优惠价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根据投标人提供的具体的实施方案进行综合评审。本校教工和在籍在读学生于在校学习工作期间，经过师生身份认证后均能以成交价在校内外享受骑行优惠政策。</w:t>
            </w:r>
          </w:p>
          <w:p>
            <w:pPr>
              <w:wordWrap w:val="off"/>
              <w:spacing w:before="0" w:after="0" w:lineRule="exact" w:line="378"/>
              <w:jc w:val="left"/>
            </w:pPr>
            <w:r>
              <w:rPr>
                <w:rFonts w:ascii="宋体" w:hAnsi="宋体" w:cs="宋体" w:eastAsia="宋体"/>
                <w:color w:val="000000"/>
                <w:sz w:val="21"/>
              </w:rPr>
              <w:t>A. 有师生认定身份方案，详细具体、针对性强、可行性高，得5分；</w:t>
            </w:r>
          </w:p>
          <w:p>
            <w:pPr>
              <w:wordWrap w:val="off"/>
              <w:spacing w:before="0" w:after="0" w:lineRule="exact" w:line="378"/>
              <w:jc w:val="left"/>
            </w:pPr>
            <w:r>
              <w:rPr>
                <w:rFonts w:ascii="宋体" w:hAnsi="宋体" w:cs="宋体" w:eastAsia="宋体"/>
                <w:color w:val="000000"/>
                <w:sz w:val="21"/>
              </w:rPr>
              <w:t>B. 有师生认定身份方案，基本完整、有一定针对性、可行性一般，得3分；</w:t>
            </w:r>
          </w:p>
          <w:p>
            <w:pPr>
              <w:wordWrap w:val="off"/>
              <w:spacing w:before="0" w:after="0" w:lineRule="exact" w:line="378"/>
              <w:jc w:val="left"/>
            </w:pPr>
            <w:r>
              <w:rPr>
                <w:rFonts w:ascii="宋体" w:hAnsi="宋体" w:cs="宋体" w:eastAsia="宋体"/>
                <w:color w:val="000000"/>
                <w:sz w:val="21"/>
              </w:rPr>
              <w:t>C. 有师生认定身份方案，不完整、缺乏针对性、可行性差，得1分；</w:t>
            </w:r>
          </w:p>
          <w:p>
            <w:pPr>
              <w:wordWrap w:val="off"/>
              <w:spacing w:before="0" w:after="0" w:lineRule="exact" w:line="378"/>
              <w:jc w:val="left"/>
            </w:pPr>
            <w:r>
              <w:rPr>
                <w:rFonts w:ascii="宋体" w:hAnsi="宋体" w:cs="宋体" w:eastAsia="宋体"/>
                <w:color w:val="000000"/>
                <w:sz w:val="21"/>
              </w:rPr>
              <w:t>D. 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车辆的先进性</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投标人提供的续航里程显示，满足用户骑行需求：</w:t>
            </w:r>
          </w:p>
          <w:p>
            <w:pPr>
              <w:wordWrap w:val="off"/>
              <w:spacing w:before="0" w:after="0" w:lineRule="exact" w:line="378"/>
              <w:jc w:val="left"/>
            </w:pPr>
            <w:r>
              <w:rPr>
                <w:rFonts w:ascii="宋体" w:hAnsi="宋体" w:cs="宋体" w:eastAsia="宋体"/>
                <w:color w:val="000000"/>
                <w:sz w:val="21"/>
              </w:rPr>
              <w:t>A.投标人提供车辆续航里程＞70km，得 3分；</w:t>
            </w:r>
          </w:p>
          <w:p>
            <w:pPr>
              <w:wordWrap w:val="off"/>
              <w:spacing w:before="0" w:after="0" w:lineRule="exact" w:line="378"/>
              <w:jc w:val="left"/>
            </w:pPr>
            <w:r>
              <w:rPr>
                <w:rFonts w:ascii="宋体" w:hAnsi="宋体" w:cs="宋体" w:eastAsia="宋体"/>
                <w:color w:val="000000"/>
                <w:sz w:val="21"/>
              </w:rPr>
              <w:t>B.50km＜投标人提供的车辆续航里程≤70km，得2分；</w:t>
            </w:r>
          </w:p>
          <w:p>
            <w:pPr>
              <w:wordWrap w:val="off"/>
              <w:spacing w:before="0" w:after="0" w:lineRule="exact" w:line="378"/>
              <w:jc w:val="left"/>
            </w:pPr>
            <w:r>
              <w:rPr>
                <w:rFonts w:ascii="宋体" w:hAnsi="宋体" w:cs="宋体" w:eastAsia="宋体"/>
                <w:color w:val="000000"/>
                <w:sz w:val="21"/>
              </w:rPr>
              <w:t>C.35km＜投标人提供的车辆续航里程≤50km，得 1分；</w:t>
            </w:r>
          </w:p>
          <w:p>
            <w:pPr>
              <w:wordWrap w:val="off"/>
              <w:spacing w:before="0" w:after="0" w:lineRule="exact" w:line="378"/>
              <w:jc w:val="left"/>
            </w:pPr>
            <w:r>
              <w:rPr>
                <w:rFonts w:ascii="宋体" w:hAnsi="宋体" w:cs="宋体" w:eastAsia="宋体"/>
                <w:color w:val="000000"/>
                <w:sz w:val="21"/>
              </w:rPr>
              <w:t>投标人提供车辆续航里程≤35km，得0分。提供相关证明材料加盖公章。</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车辆标准及样品展示</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根据车身结构、材质、设计、功能、外观、骑行舒适度等方面综合比较打分。</w:t>
            </w:r>
          </w:p>
          <w:p>
            <w:pPr>
              <w:wordWrap w:val="off"/>
              <w:spacing w:before="0" w:after="0" w:lineRule="exact" w:line="378"/>
              <w:jc w:val="left"/>
            </w:pPr>
            <w:r>
              <w:rPr>
                <w:rFonts w:ascii="宋体" w:hAnsi="宋体" w:cs="宋体" w:eastAsia="宋体"/>
                <w:color w:val="000000"/>
                <w:sz w:val="21"/>
              </w:rPr>
              <w:t>A.投标人提供的车辆要求全部符合，得2分；</w:t>
            </w:r>
          </w:p>
          <w:p>
            <w:pPr>
              <w:wordWrap w:val="off"/>
              <w:spacing w:before="0" w:after="0" w:lineRule="exact" w:line="378"/>
              <w:jc w:val="left"/>
            </w:pPr>
            <w:r>
              <w:rPr>
                <w:rFonts w:ascii="宋体" w:hAnsi="宋体" w:cs="宋体" w:eastAsia="宋体"/>
                <w:color w:val="000000"/>
                <w:sz w:val="21"/>
              </w:rPr>
              <w:t>B.投标人提供的车辆要求部分符合，得1分；</w:t>
            </w:r>
          </w:p>
          <w:p>
            <w:pPr>
              <w:wordWrap w:val="off"/>
              <w:spacing w:before="0" w:after="0" w:lineRule="exact" w:line="378"/>
              <w:jc w:val="left"/>
            </w:pPr>
            <w:r>
              <w:rPr>
                <w:rFonts w:ascii="宋体" w:hAnsi="宋体" w:cs="宋体" w:eastAsia="宋体"/>
                <w:color w:val="000000"/>
                <w:sz w:val="21"/>
              </w:rPr>
              <w:t>C.未提供不得分。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师生自有非机动车管理</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承诺协助学校对师生自有车辆进行管理（包括但不限于：①协助学校解决校园乱停乱放、秩序维护、整理违停车辆、保持消防与疏散通道畅通等工作②协助学校做好废弃车辆、僵尸车辆清理等③提供师生自有车辆回购或骑行补偿服务等）进行综合评分：</w:t>
            </w:r>
          </w:p>
          <w:p>
            <w:pPr>
              <w:wordWrap w:val="off"/>
              <w:spacing w:before="0" w:after="0" w:lineRule="exact" w:line="378"/>
              <w:jc w:val="left"/>
            </w:pPr>
            <w:r>
              <w:rPr>
                <w:rFonts w:ascii="宋体" w:hAnsi="宋体" w:cs="宋体" w:eastAsia="宋体"/>
                <w:color w:val="000000"/>
                <w:sz w:val="21"/>
              </w:rPr>
              <w:t>A.方案详细具体、针对性强、可行性高，得3分；</w:t>
            </w:r>
          </w:p>
          <w:p>
            <w:pPr>
              <w:wordWrap w:val="off"/>
              <w:spacing w:before="0" w:after="0" w:lineRule="exact" w:line="378"/>
              <w:jc w:val="left"/>
            </w:pPr>
            <w:r>
              <w:rPr>
                <w:rFonts w:ascii="宋体" w:hAnsi="宋体" w:cs="宋体" w:eastAsia="宋体"/>
                <w:color w:val="000000"/>
                <w:sz w:val="21"/>
              </w:rPr>
              <w:t>B.方案基本完整、有一定针对性、可行性一般，得2分；</w:t>
            </w:r>
          </w:p>
          <w:p>
            <w:pPr>
              <w:wordWrap w:val="off"/>
              <w:spacing w:before="0" w:after="0" w:lineRule="exact" w:line="378"/>
              <w:jc w:val="left"/>
            </w:pPr>
            <w:r>
              <w:rPr>
                <w:rFonts w:ascii="宋体" w:hAnsi="宋体" w:cs="宋体" w:eastAsia="宋体"/>
                <w:color w:val="000000"/>
                <w:sz w:val="21"/>
              </w:rPr>
              <w:t>C.方案不完整、缺乏针对性、可行性差，得1分；</w:t>
            </w:r>
          </w:p>
          <w:p>
            <w:pPr>
              <w:wordWrap w:val="off"/>
              <w:spacing w:before="0" w:after="0" w:lineRule="exact" w:line="378"/>
              <w:jc w:val="left"/>
            </w:pPr>
            <w:r>
              <w:rPr>
                <w:rFonts w:ascii="宋体" w:hAnsi="宋体" w:cs="宋体" w:eastAsia="宋体"/>
                <w:color w:val="000000"/>
                <w:sz w:val="21"/>
              </w:rPr>
              <w:t>D.未提供不得分。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运行管理、应急预案、安全管理</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a.针对本项目情况，提供完整的日常运维管理方案，由评委对供应商结合本项目实际情况提供可行运营管理方案（包含但不仅限于车辆投放方案、运营服务方案、车辆调度方案、车辆巡查方案、车辆清理维修方案等）合理性、完整性，进行横向评议并在0-3分之间进行评分，未提供的不得分，总分3分。</w:t>
            </w:r>
          </w:p>
          <w:p>
            <w:pPr>
              <w:wordWrap w:val="off"/>
              <w:spacing w:before="0" w:after="0" w:lineRule="exact" w:line="378"/>
              <w:jc w:val="left"/>
            </w:pPr>
            <w:r>
              <w:rPr>
                <w:rFonts w:ascii="宋体" w:hAnsi="宋体" w:cs="宋体" w:eastAsia="宋体"/>
                <w:color w:val="000000"/>
                <w:sz w:val="21"/>
              </w:rPr>
              <w:t>b.投标人提供重大活动、节假日、各类突发事件等应急保障预案，根据应急预案合理性、科学性进行评分，总分2分。</w:t>
            </w:r>
          </w:p>
          <w:p>
            <w:pPr>
              <w:wordWrap w:val="off"/>
              <w:spacing w:before="0" w:after="0" w:lineRule="exact" w:line="378"/>
              <w:jc w:val="left"/>
            </w:pPr>
            <w:r>
              <w:rPr>
                <w:rFonts w:ascii="宋体" w:hAnsi="宋体" w:cs="宋体" w:eastAsia="宋体"/>
                <w:color w:val="000000"/>
                <w:sz w:val="21"/>
              </w:rPr>
              <w:t>c.根据投标人针对本项目制定的安全管理措施（包括但不限于安全管理制度、消防安全、软硬件安全、用户信息保密以及面对突发情况的应急处理等的相关安全制度和保障措施等内容）进行综合评审，总分2分</w:t>
            </w:r>
          </w:p>
          <w:p>
            <w:pPr>
              <w:wordWrap w:val="off"/>
              <w:spacing w:before="0" w:after="0" w:lineRule="exact" w:line="378"/>
              <w:jc w:val="left"/>
            </w:pPr>
            <w:r>
              <w:rPr>
                <w:rFonts w:ascii="宋体" w:hAnsi="宋体" w:cs="宋体" w:eastAsia="宋体"/>
                <w:color w:val="000000"/>
                <w:sz w:val="21"/>
              </w:rPr>
              <w:t>A. 方案详细具体、针对性强、可行性高，得7分；</w:t>
            </w:r>
          </w:p>
          <w:p>
            <w:pPr>
              <w:wordWrap w:val="off"/>
              <w:spacing w:before="0" w:after="0" w:lineRule="exact" w:line="378"/>
              <w:jc w:val="left"/>
            </w:pPr>
            <w:r>
              <w:rPr>
                <w:rFonts w:ascii="宋体" w:hAnsi="宋体" w:cs="宋体" w:eastAsia="宋体"/>
                <w:color w:val="000000"/>
                <w:sz w:val="21"/>
              </w:rPr>
              <w:t>B. 方案基本完整、有一定针对性、可行性一般，得4分；</w:t>
            </w:r>
          </w:p>
          <w:p>
            <w:pPr>
              <w:wordWrap w:val="off"/>
              <w:spacing w:before="0" w:after="0" w:lineRule="exact" w:line="378"/>
              <w:jc w:val="left"/>
            </w:pPr>
            <w:r>
              <w:rPr>
                <w:rFonts w:ascii="宋体" w:hAnsi="宋体" w:cs="宋体" w:eastAsia="宋体"/>
                <w:color w:val="000000"/>
                <w:sz w:val="21"/>
              </w:rPr>
              <w:t>C. 方案不完整、缺乏针对性、可行性差，得1分；</w:t>
            </w:r>
          </w:p>
          <w:p>
            <w:pPr>
              <w:wordWrap w:val="off"/>
              <w:spacing w:before="0" w:after="0" w:lineRule="exact" w:line="378"/>
              <w:jc w:val="left"/>
            </w:pPr>
            <w:r>
              <w:rPr>
                <w:rFonts w:ascii="宋体" w:hAnsi="宋体" w:cs="宋体" w:eastAsia="宋体"/>
                <w:color w:val="000000"/>
                <w:sz w:val="21"/>
              </w:rPr>
              <w:t>D. 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7</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服务团队及人员配置</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在满足采购需求的基础上，进一步增加投入人员，根据方案，横向比较：</w:t>
            </w:r>
          </w:p>
          <w:p>
            <w:pPr>
              <w:wordWrap w:val="off"/>
              <w:spacing w:before="0" w:after="0" w:lineRule="exact" w:line="378"/>
              <w:jc w:val="left"/>
            </w:pPr>
            <w:r>
              <w:rPr>
                <w:rFonts w:ascii="宋体" w:hAnsi="宋体" w:cs="宋体" w:eastAsia="宋体"/>
                <w:color w:val="000000"/>
                <w:sz w:val="21"/>
              </w:rPr>
              <w:t>A. 团队配置完全，运维人数充足，均满足，得2分；</w:t>
            </w:r>
          </w:p>
          <w:p>
            <w:pPr>
              <w:wordWrap w:val="off"/>
              <w:spacing w:before="0" w:after="0" w:lineRule="exact" w:line="378"/>
              <w:jc w:val="left"/>
            </w:pPr>
            <w:r>
              <w:rPr>
                <w:rFonts w:ascii="宋体" w:hAnsi="宋体" w:cs="宋体" w:eastAsia="宋体"/>
                <w:color w:val="000000"/>
                <w:sz w:val="21"/>
              </w:rPr>
              <w:t>B. 团队配置、运维人数等。有一项不满足，得1分；</w:t>
            </w:r>
          </w:p>
          <w:p>
            <w:pPr>
              <w:wordWrap w:val="off"/>
              <w:spacing w:before="0" w:after="0" w:lineRule="exact" w:line="378"/>
              <w:jc w:val="left"/>
            </w:pPr>
            <w:r>
              <w:rPr>
                <w:rFonts w:ascii="宋体" w:hAnsi="宋体" w:cs="宋体" w:eastAsia="宋体"/>
                <w:color w:val="000000"/>
                <w:sz w:val="21"/>
              </w:rPr>
              <w:t>C. 团队配置、运维人数等。有两项不满足，得0分。</w:t>
            </w:r>
          </w:p>
          <w:p>
            <w:pPr>
              <w:wordWrap w:val="off"/>
              <w:spacing w:before="0" w:after="0" w:lineRule="exact" w:line="378"/>
              <w:jc w:val="left"/>
            </w:pPr>
            <w:r>
              <w:rPr>
                <w:rFonts w:ascii="宋体" w:hAnsi="宋体" w:cs="宋体" w:eastAsia="宋体"/>
                <w:color w:val="000000"/>
                <w:sz w:val="21"/>
              </w:rPr>
              <w:t>须提供服务团队人员名单、相关专业证书或履历（如有）以及最近三个月内任意一个月的社保缴纳证明并加盖公章，未提供不得分。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骑行保险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承诺为骑行用户提供骑行保险（包含意外伤害保险、第三者责任保险及公众责任险等）须提供相关保险保单或者保险合同，否则不得分。（保险适用车型和适用区域为全国，不得仅适用于景区等特殊区域，需提供相关保险证明材料，未提供不得分。）</w:t>
            </w:r>
          </w:p>
          <w:p>
            <w:pPr>
              <w:wordWrap w:val="off"/>
              <w:spacing w:before="0" w:after="0" w:lineRule="exact" w:line="378"/>
              <w:jc w:val="left"/>
            </w:pPr>
            <w:r>
              <w:rPr>
                <w:rFonts w:ascii="宋体" w:hAnsi="宋体" w:cs="宋体" w:eastAsia="宋体"/>
                <w:color w:val="000000"/>
                <w:sz w:val="21"/>
              </w:rPr>
              <w:t>A.各险种累计总保额300万元及以上得5分；</w:t>
            </w:r>
          </w:p>
          <w:p>
            <w:pPr>
              <w:wordWrap w:val="off"/>
              <w:spacing w:before="0" w:after="0" w:lineRule="exact" w:line="378"/>
              <w:jc w:val="left"/>
            </w:pPr>
            <w:r>
              <w:rPr>
                <w:rFonts w:ascii="宋体" w:hAnsi="宋体" w:cs="宋体" w:eastAsia="宋体"/>
                <w:color w:val="000000"/>
                <w:sz w:val="21"/>
              </w:rPr>
              <w:t>B.各险种累计总保额200万元（含）-300万元（不含）的得3分；</w:t>
            </w:r>
          </w:p>
          <w:p>
            <w:pPr>
              <w:wordWrap w:val="off"/>
              <w:spacing w:before="0" w:after="0" w:lineRule="exact" w:line="378"/>
              <w:jc w:val="left"/>
            </w:pPr>
            <w:r>
              <w:rPr>
                <w:rFonts w:ascii="宋体" w:hAnsi="宋体" w:cs="宋体" w:eastAsia="宋体"/>
                <w:color w:val="000000"/>
                <w:sz w:val="21"/>
              </w:rPr>
              <w:t>C.各险种累计总保额100万元（含）-200万元（不含）的得1分；</w:t>
            </w:r>
          </w:p>
          <w:p>
            <w:pPr>
              <w:wordWrap w:val="off"/>
              <w:spacing w:before="0" w:after="0" w:lineRule="exact" w:line="378"/>
              <w:jc w:val="left"/>
            </w:pPr>
            <w:r>
              <w:rPr>
                <w:rFonts w:ascii="宋体" w:hAnsi="宋体" w:cs="宋体" w:eastAsia="宋体"/>
                <w:color w:val="000000"/>
                <w:sz w:val="21"/>
              </w:rPr>
              <w:t>其余不得分。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11</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售后服务及客服处理方案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提供的售后服务方案，包括但不限于在收到平台系统检测、运维员工上报、客诉电话接入、校园相关部门通知、群众告知等后，运维服务人员进行现场修复处理，一般情况下，要求10分钟内响应，30分钟内到达现场，4小时内排除修复故障。在此基础上，排除修复故障时间每减少半小时得1分，本项最高得2分。须提供故障排除修复时间承诺（承诺函格式自拟），未提供不得分。</w:t>
            </w:r>
          </w:p>
          <w:p>
            <w:pPr>
              <w:wordWrap w:val="off"/>
              <w:spacing w:before="0" w:after="0" w:lineRule="exact" w:line="378"/>
              <w:jc w:val="left"/>
            </w:pPr>
            <w:r>
              <w:rPr>
                <w:rFonts w:ascii="宋体" w:hAnsi="宋体" w:cs="宋体" w:eastAsia="宋体"/>
                <w:color w:val="000000"/>
                <w:sz w:val="21"/>
              </w:rPr>
              <w:t>A.方案详细具体、针对性强、可行性高，得2分；</w:t>
            </w:r>
          </w:p>
          <w:p>
            <w:pPr>
              <w:wordWrap w:val="off"/>
              <w:spacing w:before="0" w:after="0" w:lineRule="exact" w:line="378"/>
              <w:jc w:val="left"/>
            </w:pPr>
            <w:r>
              <w:rPr>
                <w:rFonts w:ascii="宋体" w:hAnsi="宋体" w:cs="宋体" w:eastAsia="宋体"/>
                <w:color w:val="000000"/>
                <w:sz w:val="21"/>
              </w:rPr>
              <w:t>B.方案基本完整、有一定针对性、可行性一般，得1分；</w:t>
            </w:r>
          </w:p>
          <w:p>
            <w:pPr>
              <w:wordWrap w:val="off"/>
              <w:spacing w:before="0" w:after="0" w:lineRule="exact" w:line="378"/>
              <w:jc w:val="left"/>
            </w:pPr>
            <w:r>
              <w:rPr>
                <w:rFonts w:ascii="宋体" w:hAnsi="宋体" w:cs="宋体" w:eastAsia="宋体"/>
                <w:color w:val="000000"/>
                <w:sz w:val="21"/>
              </w:rPr>
              <w:t>C.方案不完整、缺乏针对性、可行性差，得0分。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用户信息安全保护</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为保障学校师生信息安全。投标人相关服务系统须具备公安机关颁发的信息系统安全等级保护备案证明。（需提供相关证明材料加盖投标人公章）</w:t>
            </w:r>
          </w:p>
          <w:p>
            <w:pPr>
              <w:wordWrap w:val="off"/>
              <w:spacing w:before="0" w:after="0" w:lineRule="exact" w:line="378"/>
              <w:jc w:val="left"/>
            </w:pPr>
            <w:r>
              <w:rPr>
                <w:rFonts w:ascii="宋体" w:hAnsi="宋体" w:cs="宋体" w:eastAsia="宋体"/>
                <w:color w:val="000000"/>
                <w:sz w:val="21"/>
              </w:rPr>
              <w:t>A.有提供，得3分；</w:t>
            </w:r>
          </w:p>
          <w:p>
            <w:pPr>
              <w:wordWrap w:val="off"/>
              <w:spacing w:before="0" w:after="0" w:lineRule="exact" w:line="378"/>
              <w:jc w:val="left"/>
            </w:pPr>
            <w:r>
              <w:rPr>
                <w:rFonts w:ascii="宋体" w:hAnsi="宋体" w:cs="宋体" w:eastAsia="宋体"/>
                <w:color w:val="000000"/>
                <w:sz w:val="21"/>
              </w:rPr>
              <w:t>B.未提供不得分。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履约能力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所提供的校园自有非机动车管理平台是投标人自主研发的。（提供有效软件著作权证书加盖公章），有相关证书得1.5分，每提供一个学校应用案例得0.5分，盖应用学校安保部公章。满分3分。</w:t>
            </w:r>
          </w:p>
          <w:p>
            <w:pPr>
              <w:wordWrap w:val="off"/>
              <w:spacing w:before="0" w:after="0" w:lineRule="exact" w:line="378"/>
              <w:jc w:val="left"/>
            </w:pPr>
            <w:r>
              <w:rPr>
                <w:rFonts w:ascii="宋体" w:hAnsi="宋体" w:cs="宋体" w:eastAsia="宋体"/>
                <w:color w:val="000000"/>
                <w:sz w:val="21"/>
              </w:rPr>
              <w:t>A.有相关证书，提供2个及2个学校以上的案例，得3分；</w:t>
            </w:r>
          </w:p>
          <w:p>
            <w:pPr>
              <w:wordWrap w:val="off"/>
              <w:spacing w:before="0" w:after="0" w:lineRule="exact" w:line="378"/>
              <w:jc w:val="left"/>
            </w:pPr>
            <w:r>
              <w:rPr>
                <w:rFonts w:ascii="宋体" w:hAnsi="宋体" w:cs="宋体" w:eastAsia="宋体"/>
                <w:color w:val="000000"/>
                <w:sz w:val="21"/>
              </w:rPr>
              <w:t>B.有相关证书，提供1学校以上的案例，得2分；</w:t>
            </w:r>
          </w:p>
          <w:p>
            <w:pPr>
              <w:wordWrap w:val="off"/>
              <w:spacing w:before="0" w:after="0" w:lineRule="exact" w:line="378"/>
              <w:jc w:val="left"/>
            </w:pPr>
            <w:r>
              <w:rPr>
                <w:rFonts w:ascii="宋体" w:hAnsi="宋体" w:cs="宋体" w:eastAsia="宋体"/>
                <w:color w:val="000000"/>
                <w:sz w:val="21"/>
              </w:rPr>
              <w:t>C.有相关证书，未提供案例，得1.5分；</w:t>
            </w:r>
          </w:p>
          <w:p>
            <w:pPr>
              <w:wordWrap w:val="off"/>
              <w:spacing w:before="0" w:after="0" w:lineRule="exact" w:line="378"/>
              <w:jc w:val="left"/>
            </w:pPr>
            <w:r>
              <w:rPr>
                <w:rFonts w:ascii="宋体" w:hAnsi="宋体" w:cs="宋体" w:eastAsia="宋体"/>
                <w:color w:val="000000"/>
                <w:sz w:val="21"/>
              </w:rPr>
              <w:t>D.未提供不得分。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业绩</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自2024年1月1日（以合同签订时间为准）至响应截止时间前具有同类项目业绩，有提供一个得1分，满分3分。注：提供成交/中标通知书、完整合同复印件，合同乙方签约主体须与投标人名称一致。如合同中无法体现合同签订时间、服务内容，则需提供其他证明材料如验收等相关文件，未提供或提供不全不得分。</w:t>
            </w:r>
          </w:p>
          <w:p>
            <w:pPr>
              <w:wordWrap w:val="off"/>
              <w:spacing w:before="0" w:after="0" w:lineRule="exact" w:line="378"/>
              <w:jc w:val="left"/>
            </w:pPr>
            <w:r>
              <w:rPr>
                <w:rFonts w:ascii="宋体" w:hAnsi="宋体" w:cs="宋体" w:eastAsia="宋体"/>
                <w:color w:val="000000"/>
                <w:sz w:val="21"/>
              </w:rPr>
              <w:t>A.提供三项及以上者，得3分；</w:t>
            </w:r>
          </w:p>
          <w:p>
            <w:pPr>
              <w:wordWrap w:val="off"/>
              <w:spacing w:before="0" w:after="0" w:lineRule="exact" w:line="378"/>
              <w:jc w:val="left"/>
            </w:pPr>
            <w:r>
              <w:rPr>
                <w:rFonts w:ascii="宋体" w:hAnsi="宋体" w:cs="宋体" w:eastAsia="宋体"/>
                <w:color w:val="000000"/>
                <w:sz w:val="21"/>
              </w:rPr>
              <w:t>B.提供两项者，得2分；</w:t>
            </w:r>
          </w:p>
          <w:p>
            <w:pPr>
              <w:wordWrap w:val="off"/>
              <w:spacing w:before="0" w:after="0" w:lineRule="exact" w:line="378"/>
              <w:jc w:val="left"/>
            </w:pPr>
            <w:r>
              <w:rPr>
                <w:rFonts w:ascii="宋体" w:hAnsi="宋体" w:cs="宋体" w:eastAsia="宋体"/>
                <w:color w:val="000000"/>
                <w:sz w:val="21"/>
              </w:rPr>
              <w:t>C.提供一项者，得1分；</w:t>
            </w:r>
          </w:p>
          <w:p>
            <w:pPr>
              <w:wordWrap w:val="off"/>
              <w:spacing w:before="0" w:after="0" w:lineRule="exact" w:line="378"/>
              <w:jc w:val="left"/>
            </w:pPr>
            <w:r>
              <w:rPr>
                <w:rFonts w:ascii="宋体" w:hAnsi="宋体" w:cs="宋体" w:eastAsia="宋体"/>
                <w:color w:val="000000"/>
                <w:sz w:val="21"/>
              </w:rPr>
              <w:t>D.不提供不得分。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优惠承诺</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承诺免费为学校提供运营和服务必需的设施设备和系统本地化平台；或承诺免费为学校提供车辆的道闸及道闸管理系统；或承诺免费提供校园安全秩序的设备和工具；提供方案具体，内容详实，可操作性强。满分12分。</w:t>
            </w:r>
          </w:p>
          <w:p>
            <w:pPr>
              <w:wordWrap w:val="off"/>
              <w:spacing w:before="0" w:after="0" w:lineRule="exact" w:line="378"/>
              <w:jc w:val="left"/>
            </w:pPr>
            <w:r>
              <w:rPr>
                <w:rFonts w:ascii="宋体" w:hAnsi="宋体" w:cs="宋体" w:eastAsia="宋体"/>
                <w:color w:val="000000"/>
                <w:sz w:val="21"/>
              </w:rPr>
              <w:t>注：优惠承诺项中投标人至少选两项响应，具体方案由评审专家综合评分，择优选用。</w:t>
            </w:r>
          </w:p>
          <w:p>
            <w:pPr>
              <w:wordWrap w:val="off"/>
              <w:spacing w:before="0" w:after="0" w:lineRule="exact" w:line="378"/>
              <w:jc w:val="left"/>
            </w:pPr>
            <w:r>
              <w:rPr>
                <w:rFonts w:ascii="宋体" w:hAnsi="宋体" w:cs="宋体" w:eastAsia="宋体"/>
                <w:color w:val="000000"/>
                <w:sz w:val="21"/>
              </w:rPr>
              <w:t>运营商提供的免费和优惠服务项目均在合同期内实施。</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共享电动自行车临时用车单次报价</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安全保卫部/共享单车服务项目</w:t>
      </w:r>
      <w:r>
        <w:rPr>
          <w:rFonts w:ascii="宋体" w:hAnsi="宋体" w:cs="宋体" w:eastAsia="宋体"/>
          <w:b w:val="true"/>
          <w:color w:val="000000"/>
          <w:sz w:val="36"/>
        </w:rPr>
        <w:t>合同（服务）</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xz2026-0005</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安全保卫部/共享单车服务项目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43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服务内容</w:t>
            </w:r>
          </w:p>
        </w:tc>
        <w:tc>
          <w:tcPr>
            <w:tcW w:type="dxa" w:w="19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服务期限</w:t>
            </w:r>
          </w:p>
        </w:tc>
        <w:tc>
          <w:tcPr>
            <w:tcW w:type="dxa" w:w="321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完成标准</w:t>
            </w:r>
          </w:p>
        </w:tc>
        <w:tc>
          <w:tcPr>
            <w:tcW w:type="dxa" w:w="7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70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55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4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校园共享电动自行车、共享自行车服务项目</w:t>
            </w:r>
          </w:p>
        </w:tc>
        <w:tc>
          <w:tcPr>
            <w:tcW w:type="dxa" w:w="19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3年，自合同签订并生效后至2029年4月止。</w:t>
            </w:r>
          </w:p>
        </w:tc>
        <w:tc>
          <w:tcPr>
            <w:tcW w:type="dxa" w:w="32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见验收标准</w:t>
            </w:r>
          </w:p>
        </w:tc>
        <w:tc>
          <w:tcPr>
            <w:tcW w:type="dxa" w:w="70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70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9570"/>
            <w:hMerge w:val="restart"/>
            <w:tcBorders>
              <w:top w:val="single" w:sz="6"/>
              <w:left w:val="single" w:sz="12"/>
              <w:bottom w:val="nil"/>
              <w:right w:val="single" w:sz="12"/>
            </w:tcBorders>
            <w:tcMar>
              <w:top w:w="20" w:type="dxa"/>
              <w:left w:w="20" w:type="dxa"/>
              <w:bottom w:w="20" w:type="dxa"/>
              <w:right w:w="20" w:type="dxa"/>
            </w:tcMar>
            <w:vAlign w:val="center"/>
          </w:tcPr>
          <w:p>
            <w:pPr>
              <w:wordWrap w:val="off"/>
              <w:spacing w:after="0" w:lineRule="exact" w:line="378"/>
              <w:ind w:firstLineChars="200"/>
              <w:jc w:val="center"/>
            </w:pPr>
            <w:r>
              <w:rPr>
                <w:rFonts w:ascii="宋体" w:hAnsi="宋体" w:cs="宋体" w:eastAsia="宋体"/>
                <w:color w:val="000000"/>
                <w:sz w:val="21"/>
                <w:u w:val="single"/>
              </w:rPr>
              <w:t/>
            </w:r>
            <w:r>
              <w:rPr>
                <w:rFonts w:ascii="宋体" w:hAnsi="宋体" w:cs="宋体" w:eastAsia="宋体"/>
                <w:color w:val="000000"/>
                <w:sz w:val="21"/>
              </w:rPr>
              <w:t>元/</w:t>
            </w:r>
            <w:r>
              <w:rPr>
                <w:rFonts w:ascii="宋体" w:hAnsi="宋体" w:cs="宋体" w:eastAsia="宋体"/>
                <w:color w:val="000000"/>
                <w:sz w:val="21"/>
                <w:u w:val="single"/>
              </w:rPr>
              <w:t>15分钟（单次）</w:t>
            </w:r>
            <w:r>
              <w:rPr>
                <w:rFonts w:ascii="宋体" w:hAnsi="宋体" w:cs="宋体" w:eastAsia="宋体"/>
                <w:color w:val="000000"/>
                <w:sz w:val="21"/>
              </w:rPr>
              <w:t>，约</w:t>
            </w:r>
            <w:r>
              <w:rPr>
                <w:rFonts w:ascii="宋体" w:hAnsi="宋体" w:cs="宋体" w:eastAsia="宋体"/>
                <w:color w:val="000000"/>
                <w:sz w:val="21"/>
                <w:u w:val="single"/>
              </w:rPr>
              <w:t>　　</w:t>
            </w:r>
            <w:r>
              <w:rPr>
                <w:rFonts w:ascii="宋体" w:hAnsi="宋体" w:cs="宋体" w:eastAsia="宋体"/>
                <w:color w:val="000000"/>
                <w:sz w:val="21"/>
              </w:rPr>
              <w:t>15分钟（单次）</w:t>
            </w: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4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lineRule="exact" w:line="378"/>
        <w:jc w:val="left"/>
      </w:pPr>
      <w:r>
        <w:rPr>
          <w:rFonts w:ascii="SimSun" w:hAnsi="SimSun" w:cs="SimSun" w:eastAsia="SimSun"/>
          <w:color w:val="000000"/>
          <w:sz w:val="21"/>
        </w:rPr>
        <w:t>1.运维保障承诺：a.建立车辆日常巡检机制，每月完成所有投放车辆的安全排查与性能维护，确保校园内车辆可用率高。b.</w:t>
      </w:r>
      <w:r>
        <w:rPr>
          <w:rFonts w:ascii="宋体" w:hAnsi="宋体" w:cs="宋体" w:eastAsia="宋体"/>
          <w:color w:val="000000"/>
          <w:sz w:val="21"/>
        </w:rPr>
        <w:t>为校园安全管理部门开通校内运维账户(25人以内)，便于车辆管理。</w:t>
      </w:r>
    </w:p>
    <w:p>
      <w:pPr>
        <w:wordWrap w:val="off"/>
        <w:spacing w:lineRule="exact" w:line="378"/>
        <w:jc w:val="left"/>
      </w:pPr>
      <w:r>
        <w:rPr>
          <w:rFonts w:ascii="SimSun" w:hAnsi="SimSun" w:cs="SimSun" w:eastAsia="SimSun"/>
          <w:color w:val="000000"/>
          <w:sz w:val="21"/>
        </w:rPr>
        <w:t>2.安全管理承诺：a.</w:t>
      </w:r>
      <w:r>
        <w:rPr>
          <w:rFonts w:ascii="SimSun" w:hAnsi="SimSun" w:cs="SimSun" w:eastAsia="SimSun"/>
          <w:color w:val="000000"/>
          <w:sz w:val="21"/>
        </w:rPr>
        <w:t>依法依规用户信息等严格保密，未经允许不得向任何单位（个人）泄露。b.</w:t>
      </w:r>
      <w:r>
        <w:rPr>
          <w:rFonts w:ascii="SimSun" w:hAnsi="SimSun" w:cs="SimSun" w:eastAsia="SimSun"/>
          <w:color w:val="000000"/>
          <w:sz w:val="21"/>
        </w:rPr>
        <w:t>为每辆共享车辆配备合规保险，联合学校划定专属停车区域，安排专人每日整理校园内违规停放车辆，保障校园通行秩序安保部提供。</w:t>
      </w:r>
    </w:p>
    <w:p>
      <w:pPr>
        <w:wordWrap w:val="off"/>
        <w:spacing w:lineRule="exact" w:line="378"/>
        <w:jc w:val="left"/>
      </w:pPr>
      <w:r>
        <w:rPr>
          <w:rFonts w:ascii="SimSun" w:hAnsi="SimSun" w:cs="SimSun" w:eastAsia="SimSun"/>
          <w:color w:val="000000"/>
          <w:sz w:val="21"/>
        </w:rPr>
        <w:t>3.运营商提供的免费和优惠服务项目按照约定均在合同期内实施。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　　　　　　　　　　　　　　　　　　　　　　　　　　</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元/15分钟（单次）</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单价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本项目不收取管理费，所有车辆投入及运营费用均由中标单位承担。</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）服务期：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运营服务期3年，2029年4月止，具体日期以合同为准。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湖州师范学院三校区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乙方在收到签订合同邀约后7天内向甲方交纳</w:t>
      </w:r>
      <w:r>
        <w:rPr>
          <w:rFonts w:ascii="宋体" w:hAnsi="宋体" w:cs="宋体" w:eastAsia="宋体"/>
          <w:color w:val="000000"/>
          <w:sz w:val="21"/>
          <w:u w:val="single"/>
        </w:rPr>
        <w:t>100,000.00</w:t>
      </w:r>
      <w:r>
        <w:rPr>
          <w:rFonts w:ascii="宋体" w:hAnsi="宋体" w:cs="宋体" w:eastAsia="宋体"/>
          <w:color w:val="000000"/>
          <w:sz w:val="21"/>
        </w:rPr>
        <w:t>元的履约保证金。服务期届满后无发现有服务质量问题和其他纠纷的，全额无息退还。</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　　　　　　　　　　　　　　　　　　　　　　　　　　</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）服务期：</w:t>
      </w:r>
      <w:r>
        <w:rPr>
          <w:rFonts w:ascii="宋体" w:hAnsi="宋体" w:cs="宋体" w:eastAsia="宋体"/>
          <w:color w:val="000000"/>
          <w:sz w:val="21"/>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）服务期内服务：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）服务期外服务：</w:t>
            </w:r>
            <w:r>
              <w:rPr>
                <w:rFonts w:ascii="宋体" w:hAnsi="宋体" w:cs="宋体" w:eastAsia="宋体"/>
                <w:color w:val="000000"/>
                <w:sz w:val="21"/>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　　　　　　　　　　　　　　　　　　　　　　　　　　</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由双方协商确定（填写具体协商内容）。</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　</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　</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　</w:t>
      </w:r>
      <w:r>
        <w:rPr>
          <w:rFonts w:ascii="宋体" w:hAnsi="宋体" w:cs="宋体" w:eastAsia="宋体"/>
          <w:color w:val="000000"/>
          <w:sz w:val="21"/>
        </w:rPr>
        <w:t>份，甲方执</w:t>
      </w:r>
      <w:r>
        <w:rPr>
          <w:rFonts w:ascii="宋体" w:hAnsi="宋体" w:cs="宋体" w:eastAsia="宋体"/>
          <w:color w:val="000000"/>
          <w:sz w:val="21"/>
          <w:u w:val="single"/>
        </w:rPr>
        <w:t>　</w:t>
      </w:r>
      <w:r>
        <w:rPr>
          <w:rFonts w:ascii="宋体" w:hAnsi="宋体" w:cs="宋体" w:eastAsia="宋体"/>
          <w:color w:val="000000"/>
          <w:sz w:val="21"/>
        </w:rPr>
        <w:t>份，乙方执</w:t>
      </w:r>
      <w:r>
        <w:rPr>
          <w:rFonts w:ascii="宋体" w:hAnsi="宋体" w:cs="宋体" w:eastAsia="宋体"/>
          <w:color w:val="000000"/>
          <w:sz w:val="21"/>
          <w:u w:val="single"/>
        </w:rPr>
        <w:t>　</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安全保卫部/共享单车服务项目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xz2026-0005</w:t>
            </w:r>
          </w:p>
        </w:tc>
      </w:tr>
    </w:tbl>
    <w:p>
      <w:pPr>
        <w:wordWrap w:val="off"/>
        <w:spacing w:lineRule="exact" w:line="323"/>
        <w:ind w:firstLineChars="100"/>
        <w:jc w:val="left"/>
      </w:pPr>
      <w:r>
        <w:rPr>
          <w:rFonts w:ascii="SimSun" w:hAnsi="SimSun" w:cs="SimSun" w:eastAsia="SimSun"/>
          <w:color w:val="000000"/>
          <w:sz w:val="18"/>
        </w:rPr>
        <w:t/>
      </w:r>
    </w:p>
    <w:p>
      <w:pPr>
        <w:wordWrap w:val="off"/>
        <w:spacing w:lineRule="exact" w:line="567"/>
        <w:jc w:val="center"/>
      </w:pPr>
      <w:r>
        <w:rPr>
          <w:rFonts w:ascii="仿宋" w:hAnsi="仿宋" w:cs="仿宋" w:eastAsia="仿宋"/>
          <w:b w:val="true"/>
          <w:color w:val="000000"/>
          <w:sz w:val="31"/>
        </w:rPr>
        <w:t>投标报价清单</w:t>
      </w:r>
    </w:p>
    <w:p>
      <w:pPr>
        <w:wordWrap w:val="off"/>
        <w:spacing w:lineRule="exact" w:line="431"/>
        <w:ind w:firstLineChars="100"/>
        <w:jc w:val="center"/>
      </w:pPr>
      <w:r>
        <w:rPr>
          <w:rFonts w:ascii="仿宋" w:hAnsi="仿宋" w:cs="仿宋" w:eastAsia="仿宋"/>
          <w:color w:val="000000"/>
          <w:sz w:val="24"/>
        </w:rPr>
        <w:t/>
      </w:r>
    </w:p>
    <w:p>
      <w:pPr>
        <w:wordWrap w:val="off"/>
        <w:spacing w:lineRule="exact" w:line="378"/>
        <w:jc w:val="left"/>
      </w:pPr>
      <w:r>
        <w:rPr>
          <w:rFonts w:ascii="宋体" w:hAnsi="宋体" w:cs="宋体" w:eastAsia="宋体"/>
          <w:b w:val="true"/>
          <w:color w:val="000000"/>
          <w:sz w:val="21"/>
        </w:rPr>
        <w:t>项目名称：</w:t>
      </w:r>
      <w:r>
        <w:rPr>
          <w:rFonts w:ascii="宋体" w:hAnsi="宋体" w:cs="宋体" w:eastAsia="宋体"/>
          <w:color w:val="000000"/>
          <w:sz w:val="21"/>
          <w:highlight w:val="none"/>
        </w:rPr>
        <w:t>湖州师范学院安全保卫部共享单车服务项目</w:t>
      </w:r>
    </w:p>
    <w:p>
      <w:pPr>
        <w:wordWrap w:val="off"/>
        <w:spacing w:lineRule="exact" w:line="378"/>
        <w:jc w:val="left"/>
      </w:pPr>
      <w:r>
        <w:rPr>
          <w:rFonts w:ascii="宋体" w:hAnsi="宋体" w:cs="宋体" w:eastAsia="宋体"/>
          <w:b w:val="true"/>
          <w:color w:val="000000"/>
          <w:sz w:val="21"/>
        </w:rPr>
        <w:t>项目编号：</w:t>
      </w:r>
      <w:r>
        <w:rPr>
          <w:rFonts w:ascii="宋体" w:hAnsi="宋体" w:cs="宋体" w:eastAsia="宋体"/>
          <w:color w:val="000000"/>
          <w:sz w:val="21"/>
        </w:rPr>
        <w:t>XZ2026-0005</w:t>
      </w:r>
    </w:p>
    <w:tbl>
      <w:tblPr>
        <w:tblW w:w="0" w:type="auto"/>
        <w:tblBorders>
          <w:top w:val="single"/>
          <w:left w:val="single"/>
          <w:bottom w:val="single"/>
          <w:right w:val="single"/>
          <w:insideH w:val="single"/>
          <w:insideV w:val="single"/>
        </w:tblBorders>
      </w:tblPr>
      <w:tblPr>
        <w:tblW w:type="dxa" w:w="9015"/>
        <w:jc w:val="center"/>
        <w:tblBorders>
          <w:top w:val="nil"/>
          <w:left w:val="nil"/>
          <w:bottom w:val="nil"/>
          <w:right w:val="nil"/>
        </w:tblBorders>
      </w:tblPr>
      <w:tr>
        <w:tc>
          <w:tcPr>
            <w:tcW w:type="dxa" w:w="750"/>
            <w:tcBorders>
              <w:top w:val="nil"/>
              <w:left w:val="nil"/>
              <w:bottom w:val="nil"/>
              <w:right w:val="nil"/>
            </w:tcBorders>
            <w:vAlign w:val="center"/>
          </w:tcPr>
          <w:p>
            <w:pPr>
              <w:wordWrap w:val="off"/>
              <w:jc w:val="left"/>
            </w:pPr>
          </w:p>
        </w:tc>
        <w:tc>
          <w:tcPr>
            <w:tcW w:type="dxa" w:w="2205"/>
            <w:tcBorders>
              <w:top w:val="nil"/>
              <w:left w:val="nil"/>
              <w:bottom w:val="nil"/>
              <w:right w:val="nil"/>
            </w:tcBorders>
            <w:vAlign w:val="center"/>
          </w:tcPr>
          <w:p>
            <w:pPr>
              <w:wordWrap w:val="off"/>
              <w:jc w:val="left"/>
            </w:pPr>
          </w:p>
        </w:tc>
        <w:tc>
          <w:tcPr>
            <w:tcW w:type="dxa" w:w="3990"/>
            <w:tcBorders>
              <w:top w:val="nil"/>
              <w:left w:val="nil"/>
              <w:bottom w:val="nil"/>
              <w:right w:val="nil"/>
            </w:tcBorders>
            <w:vAlign w:val="center"/>
          </w:tcPr>
          <w:p>
            <w:pPr>
              <w:wordWrap w:val="off"/>
              <w:jc w:val="left"/>
            </w:pPr>
          </w:p>
        </w:tc>
        <w:tc>
          <w:tcPr>
            <w:tcW w:type="dxa" w:w="735"/>
            <w:tcBorders>
              <w:top w:val="nil"/>
              <w:left w:val="nil"/>
              <w:bottom w:val="nil"/>
              <w:right w:val="nil"/>
            </w:tcBorders>
            <w:vAlign w:val="center"/>
          </w:tcPr>
          <w:p>
            <w:pPr>
              <w:wordWrap w:val="off"/>
              <w:jc w:val="left"/>
            </w:pPr>
          </w:p>
        </w:tc>
        <w:tc>
          <w:tcPr>
            <w:tcW w:type="dxa" w:w="735"/>
            <w:tcBorders>
              <w:top w:val="nil"/>
              <w:left w:val="nil"/>
              <w:bottom w:val="nil"/>
              <w:right w:val="nil"/>
            </w:tcBorders>
            <w:vAlign w:val="center"/>
          </w:tcPr>
          <w:p>
            <w:pPr>
              <w:wordWrap w:val="off"/>
              <w:jc w:val="left"/>
            </w:pPr>
          </w:p>
        </w:tc>
        <w:tc>
          <w:tcPr>
            <w:tcW w:type="dxa" w:w="1455"/>
            <w:tcBorders>
              <w:top w:val="nil"/>
              <w:left w:val="nil"/>
              <w:bottom w:val="nil"/>
              <w:right w:val="nil"/>
            </w:tcBorders>
            <w:vAlign w:val="center"/>
          </w:tcPr>
          <w:p>
            <w:pPr>
              <w:wordWrap w:val="off"/>
              <w:jc w:val="left"/>
            </w:pPr>
          </w:p>
        </w:tc>
      </w:tr>
      <w:tr>
        <w:trPr>
          <w:trHeight w:val="300"/>
        </w:trPr>
        <w:tc>
          <w:tcPr>
            <w:tcW w:type="dxa" w:w="750"/>
            <w:tcBorders>
              <w:top w:val="single" w:sz="6" w:color="000000"/>
              <w:left w:val="single" w:sz="6" w:color="000000"/>
              <w:bottom w:val="single" w:sz="6" w:color="000000"/>
              <w:right w:val="single" w:sz="6" w:color="000000"/>
            </w:tcBorders>
            <w:vAlign w:val="center"/>
          </w:tcPr>
          <w:p>
            <w:pPr>
              <w:wordWrap w:val="off"/>
              <w:spacing w:lineRule="exact" w:line="351"/>
              <w:jc w:val="center"/>
            </w:pPr>
            <w:r>
              <w:rPr>
                <w:rFonts w:ascii="SimSun" w:hAnsi="SimSun" w:cs="SimSun" w:eastAsia="SimSun"/>
                <w:b w:val="true"/>
                <w:color w:val="000000"/>
                <w:sz w:val="19"/>
              </w:rPr>
              <w:t>序号</w:t>
            </w:r>
          </w:p>
        </w:tc>
        <w:tc>
          <w:tcPr>
            <w:tcW w:type="dxa" w:w="2205"/>
            <w:tcBorders>
              <w:top w:val="single" w:sz="6" w:color="000000"/>
              <w:left w:val="nil"/>
              <w:bottom w:val="single" w:sz="6" w:color="000000"/>
              <w:right w:val="single" w:sz="6" w:color="000000"/>
            </w:tcBorders>
            <w:vAlign w:val="center"/>
          </w:tcPr>
          <w:p>
            <w:pPr>
              <w:wordWrap w:val="off"/>
              <w:spacing w:lineRule="exact" w:line="351"/>
              <w:jc w:val="center"/>
            </w:pPr>
            <w:r>
              <w:rPr>
                <w:rFonts w:ascii="SimSun" w:hAnsi="SimSun" w:cs="SimSun" w:eastAsia="SimSun"/>
                <w:b w:val="true"/>
                <w:color w:val="000000"/>
                <w:sz w:val="19"/>
              </w:rPr>
              <w:t>名称</w:t>
            </w:r>
          </w:p>
        </w:tc>
        <w:tc>
          <w:tcPr>
            <w:tcW w:type="dxa" w:w="3990"/>
            <w:tcBorders>
              <w:top w:val="single" w:sz="6" w:color="000000"/>
              <w:left w:val="nil"/>
              <w:bottom w:val="single" w:sz="6" w:color="000000"/>
              <w:right w:val="single" w:sz="6" w:color="000000"/>
            </w:tcBorders>
            <w:vAlign w:val="center"/>
          </w:tcPr>
          <w:p>
            <w:pPr>
              <w:wordWrap w:val="off"/>
              <w:spacing w:lineRule="exact" w:line="351"/>
              <w:jc w:val="center"/>
            </w:pPr>
            <w:r>
              <w:rPr>
                <w:rFonts w:ascii="SimSun" w:hAnsi="SimSun" w:cs="SimSun" w:eastAsia="SimSun"/>
                <w:b w:val="true"/>
                <w:color w:val="000000"/>
                <w:sz w:val="19"/>
              </w:rPr>
              <w:t>服务内容</w:t>
            </w:r>
          </w:p>
        </w:tc>
        <w:tc>
          <w:tcPr>
            <w:tcW w:type="dxa" w:w="735"/>
            <w:tcBorders>
              <w:top w:val="single" w:sz="6" w:color="000000"/>
              <w:left w:val="nil"/>
              <w:bottom w:val="single" w:sz="6" w:color="000000"/>
              <w:right w:val="single" w:sz="6" w:color="000000"/>
            </w:tcBorders>
            <w:vAlign w:val="center"/>
          </w:tcPr>
          <w:p>
            <w:pPr>
              <w:wordWrap w:val="off"/>
              <w:spacing w:lineRule="exact" w:line="351"/>
              <w:jc w:val="center"/>
            </w:pPr>
            <w:r>
              <w:rPr>
                <w:rFonts w:ascii="SimSun" w:hAnsi="SimSun" w:cs="SimSun" w:eastAsia="SimSun"/>
                <w:b w:val="true"/>
                <w:color w:val="000000"/>
                <w:sz w:val="19"/>
              </w:rPr>
              <w:t>数量</w:t>
            </w:r>
          </w:p>
        </w:tc>
        <w:tc>
          <w:tcPr>
            <w:tcW w:type="dxa" w:w="735"/>
            <w:tcBorders>
              <w:top w:val="single" w:sz="6" w:color="000000"/>
              <w:left w:val="nil"/>
              <w:bottom w:val="single" w:sz="6" w:color="000000"/>
              <w:right w:val="single" w:sz="6" w:color="000000"/>
            </w:tcBorders>
            <w:vAlign w:val="center"/>
          </w:tcPr>
          <w:p>
            <w:pPr>
              <w:wordWrap w:val="off"/>
              <w:spacing w:lineRule="exact" w:line="351"/>
              <w:jc w:val="center"/>
            </w:pPr>
            <w:r>
              <w:rPr>
                <w:rFonts w:ascii="SimSun" w:hAnsi="SimSun" w:cs="SimSun" w:eastAsia="SimSun"/>
                <w:b w:val="true"/>
                <w:color w:val="000000"/>
                <w:sz w:val="19"/>
              </w:rPr>
              <w:t>单位</w:t>
            </w:r>
          </w:p>
        </w:tc>
        <w:tc>
          <w:tcPr>
            <w:tcW w:type="dxa" w:w="1455"/>
            <w:tcBorders>
              <w:top w:val="single" w:sz="6" w:color="000000"/>
              <w:left w:val="nil"/>
              <w:bottom w:val="single" w:sz="6" w:color="000000"/>
              <w:right w:val="single" w:sz="6" w:color="000000"/>
            </w:tcBorders>
            <w:vAlign w:val="center"/>
          </w:tcPr>
          <w:p>
            <w:pPr>
              <w:wordWrap w:val="off"/>
              <w:spacing w:lineRule="exact" w:line="351"/>
              <w:jc w:val="center"/>
            </w:pPr>
            <w:r>
              <w:rPr>
                <w:rFonts w:ascii="SimSun" w:hAnsi="SimSun" w:cs="SimSun" w:eastAsia="SimSun"/>
                <w:b w:val="true"/>
                <w:color w:val="000000"/>
                <w:sz w:val="19"/>
              </w:rPr>
              <w:t>单价（元/15分钟）</w:t>
            </w:r>
          </w:p>
        </w:tc>
      </w:tr>
      <w:tr>
        <w:trPr>
          <w:trHeight w:val="300"/>
        </w:trPr>
        <w:tc>
          <w:tcPr>
            <w:tcW w:type="dxa" w:w="750"/>
            <w:tcBorders>
              <w:top w:val="nil"/>
              <w:left w:val="single" w:sz="6" w:color="000000"/>
              <w:bottom w:val="single" w:sz="6" w:color="000000"/>
              <w:right w:val="single" w:sz="6" w:color="000000"/>
            </w:tcBorders>
            <w:vAlign w:val="center"/>
          </w:tcPr>
          <w:p>
            <w:pPr>
              <w:wordWrap w:val="off"/>
              <w:spacing w:lineRule="exact" w:line="351"/>
              <w:jc w:val="center"/>
            </w:pPr>
            <w:r>
              <w:rPr>
                <w:rFonts w:ascii="SimSun" w:hAnsi="SimSun" w:cs="SimSun" w:eastAsia="SimSun"/>
                <w:color w:val="000000"/>
                <w:sz w:val="19"/>
              </w:rPr>
              <w:t>1</w:t>
            </w:r>
          </w:p>
        </w:tc>
        <w:tc>
          <w:tcPr>
            <w:tcW w:type="dxa" w:w="2205"/>
            <w:tcBorders>
              <w:top w:val="nil"/>
              <w:left w:val="nil"/>
              <w:bottom w:val="single" w:sz="6" w:color="000000"/>
              <w:right w:val="single" w:sz="6" w:color="000000"/>
            </w:tcBorders>
            <w:vAlign w:val="center"/>
          </w:tcPr>
          <w:p>
            <w:pPr>
              <w:wordWrap w:val="off"/>
              <w:spacing w:lineRule="exact" w:line="323"/>
              <w:jc w:val="center"/>
            </w:pPr>
            <w:r>
              <w:rPr>
                <w:rFonts w:ascii="SimSun" w:hAnsi="SimSun" w:cs="SimSun" w:eastAsia="SimSun"/>
                <w:color w:val="000000"/>
                <w:sz w:val="18"/>
              </w:rPr>
              <w:t>电动自行车单次骑行</w:t>
            </w:r>
          </w:p>
        </w:tc>
        <w:tc>
          <w:tcPr>
            <w:tcW w:type="dxa" w:w="3990"/>
            <w:tcBorders>
              <w:top w:val="nil"/>
              <w:left w:val="nil"/>
              <w:bottom w:val="single" w:sz="6" w:color="000000"/>
              <w:right w:val="single" w:sz="6" w:color="000000"/>
            </w:tcBorders>
            <w:vAlign w:val="center"/>
          </w:tcPr>
          <w:p>
            <w:pPr>
              <w:wordWrap w:val="off"/>
              <w:spacing w:lineRule="exact" w:line="351"/>
              <w:jc w:val="center"/>
            </w:pPr>
            <w:r>
              <w:rPr>
                <w:rFonts w:ascii="SimSun" w:hAnsi="SimSun" w:cs="SimSun" w:eastAsia="SimSun"/>
                <w:color w:val="000000"/>
                <w:sz w:val="19"/>
              </w:rPr>
              <w:t>响应招标文件 </w:t>
            </w:r>
          </w:p>
        </w:tc>
        <w:tc>
          <w:tcPr>
            <w:tcW w:type="dxa" w:w="735"/>
            <w:tcBorders>
              <w:top w:val="nil"/>
              <w:left w:val="nil"/>
              <w:bottom w:val="single" w:sz="6" w:color="000000"/>
              <w:right w:val="single" w:sz="6" w:color="000000"/>
            </w:tcBorders>
            <w:vAlign w:val="center"/>
          </w:tcPr>
          <w:p>
            <w:pPr>
              <w:wordWrap w:val="off"/>
              <w:spacing w:lineRule="exact" w:line="351"/>
              <w:ind w:firstLineChars="100"/>
              <w:jc w:val="center"/>
            </w:pPr>
            <w:r>
              <w:rPr>
                <w:rFonts w:ascii="SimSun" w:hAnsi="SimSun" w:cs="SimSun" w:eastAsia="SimSun"/>
                <w:color w:val="000000"/>
                <w:sz w:val="19"/>
              </w:rPr>
              <w:t>1</w:t>
            </w:r>
          </w:p>
        </w:tc>
        <w:tc>
          <w:tcPr>
            <w:tcW w:type="dxa" w:w="735"/>
            <w:tcBorders>
              <w:top w:val="nil"/>
              <w:left w:val="nil"/>
              <w:bottom w:val="single" w:sz="6" w:color="000000"/>
              <w:right w:val="single" w:sz="6" w:color="000000"/>
            </w:tcBorders>
            <w:vAlign w:val="center"/>
          </w:tcPr>
          <w:p>
            <w:pPr>
              <w:wordWrap w:val="off"/>
              <w:spacing w:lineRule="exact" w:line="351"/>
              <w:jc w:val="center"/>
            </w:pPr>
            <w:r>
              <w:rPr>
                <w:rFonts w:ascii="SimSun" w:hAnsi="SimSun" w:cs="SimSun" w:eastAsia="SimSun"/>
                <w:color w:val="000000"/>
                <w:sz w:val="19"/>
              </w:rPr>
              <w:t>次 </w:t>
            </w:r>
          </w:p>
        </w:tc>
        <w:tc>
          <w:tcPr>
            <w:tcW w:type="dxa" w:w="1455"/>
            <w:tcBorders>
              <w:top w:val="nil"/>
              <w:left w:val="nil"/>
              <w:bottom w:val="single" w:sz="6" w:color="000000"/>
              <w:right w:val="single" w:sz="6" w:color="000000"/>
            </w:tcBorders>
            <w:vAlign w:val="center"/>
          </w:tcPr>
          <w:p>
            <w:pPr>
              <w:wordWrap w:val="off"/>
              <w:spacing w:lineRule="exact" w:line="351"/>
              <w:ind w:firstLineChars="100"/>
              <w:jc w:val="center"/>
            </w:pPr>
            <w:r>
              <w:rPr>
                <w:rFonts w:ascii="SimSun" w:hAnsi="SimSun" w:cs="SimSun" w:eastAsia="SimSun"/>
                <w:color w:val="000000"/>
                <w:sz w:val="19"/>
              </w:rPr>
              <w:t/>
            </w:r>
          </w:p>
        </w:tc>
      </w:tr>
      <w:tr>
        <w:trPr>
          <w:trHeight w:val="300"/>
        </w:trPr>
        <w:tc>
          <w:tcPr>
            <w:tcW w:type="dxa" w:w="750"/>
            <w:tcBorders>
              <w:top w:val="nil"/>
              <w:left w:val="single" w:sz="6" w:color="000000"/>
              <w:bottom w:val="single" w:sz="6" w:color="000000"/>
              <w:right w:val="single" w:sz="6" w:color="000000"/>
            </w:tcBorders>
            <w:vAlign w:val="center"/>
          </w:tcPr>
          <w:p>
            <w:pPr>
              <w:wordWrap w:val="off"/>
              <w:spacing w:lineRule="exact" w:line="351"/>
              <w:jc w:val="center"/>
            </w:pPr>
            <w:r>
              <w:rPr>
                <w:rFonts w:ascii="SimSun" w:hAnsi="SimSun" w:cs="SimSun" w:eastAsia="SimSun"/>
                <w:color w:val="000000"/>
                <w:sz w:val="19"/>
              </w:rPr>
              <w:t>2</w:t>
            </w:r>
          </w:p>
        </w:tc>
        <w:tc>
          <w:tcPr>
            <w:tcW w:type="dxa" w:w="2205"/>
            <w:tcBorders>
              <w:top w:val="nil"/>
              <w:left w:val="nil"/>
              <w:bottom w:val="single" w:sz="6" w:color="000000"/>
              <w:right w:val="single" w:sz="6" w:color="000000"/>
            </w:tcBorders>
            <w:vAlign w:val="center"/>
          </w:tcPr>
          <w:p>
            <w:pPr>
              <w:wordWrap w:val="off"/>
              <w:spacing w:lineRule="exact" w:line="323"/>
              <w:jc w:val="center"/>
            </w:pPr>
            <w:r>
              <w:rPr>
                <w:rFonts w:ascii="SimSun" w:hAnsi="SimSun" w:cs="SimSun" w:eastAsia="SimSun"/>
                <w:color w:val="000000"/>
                <w:sz w:val="18"/>
              </w:rPr>
              <w:t>电动自行车办卡骑行</w:t>
            </w:r>
          </w:p>
        </w:tc>
        <w:tc>
          <w:tcPr>
            <w:tcW w:type="dxa" w:w="3990"/>
            <w:tcBorders>
              <w:top w:val="nil"/>
              <w:left w:val="nil"/>
              <w:bottom w:val="single" w:sz="6" w:color="000000"/>
              <w:right w:val="single" w:sz="6" w:color="000000"/>
            </w:tcBorders>
            <w:vAlign w:val="center"/>
          </w:tcPr>
          <w:p>
            <w:pPr>
              <w:wordWrap w:val="off"/>
              <w:spacing w:lineRule="exact" w:line="351"/>
              <w:jc w:val="center"/>
            </w:pPr>
            <w:r>
              <w:rPr>
                <w:rFonts w:ascii="SimSun" w:hAnsi="SimSun" w:cs="SimSun" w:eastAsia="SimSun"/>
                <w:color w:val="000000"/>
                <w:sz w:val="19"/>
              </w:rPr>
              <w:t>响应招标文件 </w:t>
            </w:r>
          </w:p>
        </w:tc>
        <w:tc>
          <w:tcPr>
            <w:tcW w:type="dxa" w:w="735"/>
            <w:tcBorders>
              <w:top w:val="nil"/>
              <w:left w:val="nil"/>
              <w:bottom w:val="single" w:sz="6" w:color="000000"/>
              <w:right w:val="single" w:sz="6" w:color="000000"/>
            </w:tcBorders>
            <w:vAlign w:val="center"/>
          </w:tcPr>
          <w:p>
            <w:pPr>
              <w:wordWrap w:val="off"/>
              <w:spacing w:lineRule="exact" w:line="351"/>
              <w:jc w:val="center"/>
            </w:pPr>
            <w:r>
              <w:rPr>
                <w:rFonts w:ascii="SimSun" w:hAnsi="SimSun" w:cs="SimSun" w:eastAsia="SimSun"/>
                <w:color w:val="000000"/>
                <w:sz w:val="19"/>
              </w:rPr>
              <w:t>1 </w:t>
            </w:r>
          </w:p>
        </w:tc>
        <w:tc>
          <w:tcPr>
            <w:tcW w:type="dxa" w:w="735"/>
            <w:tcBorders>
              <w:top w:val="nil"/>
              <w:left w:val="nil"/>
              <w:bottom w:val="single" w:sz="6" w:color="000000"/>
              <w:right w:val="single" w:sz="6" w:color="000000"/>
            </w:tcBorders>
            <w:vAlign w:val="center"/>
          </w:tcPr>
          <w:p>
            <w:pPr>
              <w:wordWrap w:val="off"/>
              <w:spacing w:lineRule="exact" w:line="351"/>
              <w:jc w:val="center"/>
            </w:pPr>
            <w:r>
              <w:rPr>
                <w:rFonts w:ascii="SimSun" w:hAnsi="SimSun" w:cs="SimSun" w:eastAsia="SimSun"/>
                <w:color w:val="000000"/>
                <w:sz w:val="19"/>
              </w:rPr>
              <w:t>次 </w:t>
            </w:r>
          </w:p>
        </w:tc>
        <w:tc>
          <w:tcPr>
            <w:tcW w:type="dxa" w:w="1455"/>
            <w:tcBorders>
              <w:top w:val="nil"/>
              <w:left w:val="nil"/>
              <w:bottom w:val="single" w:sz="6" w:color="000000"/>
              <w:right w:val="single" w:sz="6" w:color="000000"/>
            </w:tcBorders>
            <w:vAlign w:val="center"/>
          </w:tcPr>
          <w:p>
            <w:pPr>
              <w:wordWrap w:val="off"/>
              <w:spacing w:lineRule="exact" w:line="323"/>
              <w:ind w:firstLineChars="100"/>
              <w:jc w:val="center"/>
            </w:pPr>
            <w:r>
              <w:rPr>
                <w:rFonts w:ascii="SimSun" w:hAnsi="SimSun" w:cs="SimSun" w:eastAsia="SimSun"/>
                <w:color w:val="000000"/>
                <w:sz w:val="18"/>
              </w:rPr>
              <w:t/>
            </w:r>
          </w:p>
        </w:tc>
      </w:tr>
    </w:tbl>
    <w:p>
      <w:pPr>
        <w:wordWrap w:val="off"/>
        <w:spacing w:lineRule="exact" w:line="378"/>
        <w:ind w:firstLineChars="100"/>
        <w:jc w:val="left"/>
      </w:pPr>
      <w:r>
        <w:rPr>
          <w:rFonts w:ascii="宋体" w:hAnsi="宋体" w:cs="宋体" w:eastAsia="宋体"/>
          <w:b w:val="true"/>
          <w:color w:val="000000"/>
          <w:sz w:val="21"/>
        </w:rPr>
        <w:t/>
      </w:r>
    </w:p>
    <w:p>
      <w:pPr>
        <w:wordWrap w:val="off"/>
        <w:spacing w:lineRule="exact" w:line="323"/>
        <w:ind w:firstLineChars="100"/>
        <w:jc w:val="left"/>
      </w:pPr>
      <w:r>
        <w:rPr>
          <w:rFonts w:ascii="SimSun" w:hAnsi="SimSun" w:cs="SimSun" w:eastAsia="SimSun"/>
          <w:color w:val="000000"/>
          <w:sz w:val="18"/>
        </w:rPr>
        <w:t/>
      </w:r>
    </w:p>
    <w:p>
      <w:pPr>
        <w:wordWrap w:val="off"/>
        <w:spacing w:lineRule="exact" w:line="378"/>
        <w:ind w:firstLineChars="100"/>
        <w:jc w:val="left"/>
      </w:pPr>
      <w:r>
        <w:rPr>
          <w:rFonts w:ascii="宋体" w:hAnsi="宋体" w:cs="宋体" w:eastAsia="宋体"/>
          <w:color w:val="000000"/>
          <w:sz w:val="21"/>
        </w:rPr>
        <w:t/>
      </w:r>
    </w:p>
    <w:p>
      <w:pPr>
        <w:wordWrap w:val="off"/>
        <w:spacing w:lineRule="exact" w:line="378"/>
        <w:jc w:val="right"/>
      </w:pPr>
      <w:r>
        <w:rPr>
          <w:rFonts w:ascii="宋体" w:hAnsi="宋体" w:cs="宋体" w:eastAsia="宋体"/>
          <w:color w:val="000000"/>
          <w:sz w:val="21"/>
        </w:rPr>
        <w:t>授权代表签字：</w:t>
      </w:r>
      <w:r>
        <w:rPr>
          <w:rFonts w:ascii="宋体" w:hAnsi="宋体" w:cs="宋体" w:eastAsia="宋体"/>
          <w:color w:val="000000"/>
          <w:sz w:val="21"/>
          <w:u w:val="single"/>
        </w:rPr>
        <w:t>                     </w:t>
      </w:r>
    </w:p>
    <w:p>
      <w:pPr>
        <w:wordWrap w:val="off"/>
        <w:spacing w:lineRule="exact" w:line="378"/>
        <w:jc w:val="right"/>
      </w:pPr>
      <w:r>
        <w:rPr>
          <w:rFonts w:ascii="宋体" w:hAnsi="宋体" w:cs="宋体" w:eastAsia="宋体"/>
          <w:color w:val="000000"/>
          <w:sz w:val="21"/>
        </w:rPr>
        <w:t>投标人（盖章）：</w:t>
      </w:r>
      <w:r>
        <w:rPr>
          <w:rFonts w:ascii="宋体" w:hAnsi="宋体" w:cs="宋体" w:eastAsia="宋体"/>
          <w:color w:val="000000"/>
          <w:sz w:val="21"/>
          <w:u w:val="single"/>
        </w:rPr>
        <w:t>            </w:t>
      </w:r>
      <w:r>
        <w:rPr>
          <w:rFonts w:ascii="宋体" w:hAnsi="宋体" w:cs="宋体" w:eastAsia="宋体"/>
          <w:color w:val="000000"/>
          <w:sz w:val="21"/>
        </w:rPr>
        <w:t> </w:t>
      </w:r>
    </w:p>
    <w:p>
      <w:pPr>
        <w:wordWrap w:val="off"/>
        <w:spacing w:lineRule="exact" w:line="378"/>
        <w:jc w:val="right"/>
      </w:pPr>
      <w:r>
        <w:rPr>
          <w:rFonts w:ascii="宋体" w:hAnsi="宋体" w:cs="宋体" w:eastAsia="宋体"/>
          <w:color w:val="000000"/>
          <w:sz w:val="21"/>
        </w:rPr>
        <w:t>2026年  月  日</w:t>
      </w:r>
    </w:p>
    <w:p>
      <w:pPr>
        <w:wordWrap w:val="off"/>
        <w:spacing w:lineRule="exact" w:line="378"/>
        <w:ind w:firstLineChars="100"/>
        <w:jc w:val="left"/>
      </w:pPr>
      <w:r>
        <w:rPr>
          <w:rFonts w:ascii="宋体" w:hAnsi="宋体" w:cs="宋体" w:eastAsia="宋体"/>
          <w:color w:val="000000"/>
          <w:sz w:val="21"/>
        </w:rPr>
        <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2、符合参加政府采购活动应当具备的一般条件的承诺函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安全保卫部/共享单车服务项目</w:t>
      </w:r>
      <w:r>
        <w:rPr>
          <w:rFonts w:ascii="宋体" w:hAnsi="宋体" w:cs="宋体" w:eastAsia="宋体"/>
          <w:color w:val="000000"/>
          <w:sz w:val="21"/>
        </w:rPr>
        <w:t>(项目编号：</w:t>
      </w:r>
      <w:r>
        <w:rPr>
          <w:rFonts w:ascii="宋体" w:hAnsi="宋体" w:cs="宋体" w:eastAsia="宋体"/>
          <w:color w:val="000000"/>
          <w:sz w:val="21"/>
          <w:u w:val="single"/>
        </w:rPr>
        <w:t>xz2026-0005</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1</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符合参加政府采购活动应当具备的一般条件的承诺函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我方参与（项目名称）【招标编号：（采购编号）】政府采购活动，郑重承诺：</w:t>
      </w:r>
    </w:p>
    <w:p>
      <w:pPr>
        <w:wordWrap w:val="off"/>
        <w:spacing w:before="0" w:after="0" w:lineRule="exact" w:line="378"/>
        <w:ind w:firstLineChars="200"/>
        <w:jc w:val="left"/>
      </w:pPr>
      <w:r>
        <w:rPr>
          <w:rFonts w:ascii="宋体" w:hAnsi="宋体" w:cs="宋体" w:eastAsia="宋体"/>
          <w:color w:val="000000"/>
          <w:sz w:val="21"/>
        </w:rPr>
        <w:t>（一）具备《中华人民共和国政府采购法》第二十二条第一款规定的条件：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 xml:space="preserve">2、具有良好的商业信誉和健全的财务会计制度； </w:t>
      </w:r>
    </w:p>
    <w:p>
      <w:pPr>
        <w:wordWrap w:val="off"/>
        <w:spacing w:before="0" w:after="0" w:lineRule="exact" w:line="378"/>
        <w:ind w:firstLineChars="200"/>
        <w:jc w:val="left"/>
      </w:pPr>
      <w:r>
        <w:rPr>
          <w:rFonts w:ascii="宋体" w:hAnsi="宋体" w:cs="宋体" w:eastAsia="宋体"/>
          <w:color w:val="000000"/>
          <w:sz w:val="21"/>
        </w:rPr>
        <w:t>3、具有履行合同所必需的设备和专业技术能力；</w:t>
      </w:r>
    </w:p>
    <w:p>
      <w:pPr>
        <w:wordWrap w:val="off"/>
        <w:spacing w:before="0" w:after="0" w:lineRule="exact" w:line="378"/>
        <w:ind w:firstLineChars="200"/>
        <w:jc w:val="left"/>
      </w:pPr>
      <w:r>
        <w:rPr>
          <w:rFonts w:ascii="宋体" w:hAnsi="宋体" w:cs="宋体" w:eastAsia="宋体"/>
          <w:color w:val="000000"/>
          <w:sz w:val="21"/>
        </w:rPr>
        <w:t>4、有依法缴纳税收和社会保障资金的良好记录；</w:t>
      </w:r>
    </w:p>
    <w:p>
      <w:pPr>
        <w:wordWrap w:val="off"/>
        <w:spacing w:before="0" w:after="0" w:lineRule="exact" w:line="378"/>
        <w:ind w:firstLineChars="200"/>
        <w:jc w:val="left"/>
      </w:pPr>
      <w:r>
        <w:rPr>
          <w:rFonts w:ascii="宋体" w:hAnsi="宋体" w:cs="宋体" w:eastAsia="宋体"/>
          <w:color w:val="000000"/>
          <w:sz w:val="21"/>
        </w:rPr>
        <w:t>5、参加政府采购活动前三年内，在经营活动中没有重大违法记录；</w:t>
      </w:r>
    </w:p>
    <w:p>
      <w:pPr>
        <w:wordWrap w:val="off"/>
        <w:spacing w:before="0" w:after="0" w:lineRule="exact" w:line="378"/>
        <w:ind w:firstLineChars="200"/>
        <w:jc w:val="left"/>
      </w:pPr>
      <w:r>
        <w:rPr>
          <w:rFonts w:ascii="宋体" w:hAnsi="宋体" w:cs="宋体" w:eastAsia="宋体"/>
          <w:color w:val="000000"/>
          <w:sz w:val="21"/>
        </w:rPr>
        <w:t>6、具有法律、行政法规规定的其他条件。</w:t>
      </w:r>
    </w:p>
    <w:p>
      <w:pPr>
        <w:wordWrap w:val="off"/>
        <w:spacing w:before="0" w:after="0" w:lineRule="exact" w:line="378"/>
        <w:ind w:firstLineChars="200"/>
        <w:jc w:val="left"/>
      </w:pPr>
      <w:r>
        <w:rPr>
          <w:rFonts w:ascii="宋体" w:hAnsi="宋体" w:cs="宋体" w:eastAsia="宋体"/>
          <w:color w:val="000000"/>
          <w:sz w:val="21"/>
        </w:rPr>
        <w:t>（二）未被信用中国（www.creditchina.gov.cn)、中国政府采购网（www.ccgp.gov.cn）列入失信被执行人、重大税收违法案件当事人名单、政府采购严重违法失信行为记录名单。</w:t>
      </w:r>
    </w:p>
    <w:p>
      <w:pPr>
        <w:wordWrap w:val="off"/>
        <w:spacing w:before="0" w:after="0" w:lineRule="exact" w:line="378"/>
        <w:ind w:firstLineChars="200"/>
        <w:jc w:val="left"/>
      </w:pPr>
      <w:r>
        <w:rPr>
          <w:rFonts w:ascii="宋体" w:hAnsi="宋体" w:cs="宋体" w:eastAsia="宋体"/>
          <w:color w:val="000000"/>
          <w:sz w:val="21"/>
        </w:rPr>
        <w:t>（三）不存在以下情况：</w:t>
      </w:r>
    </w:p>
    <w:p>
      <w:pPr>
        <w:wordWrap w:val="off"/>
        <w:spacing w:before="0" w:after="0" w:lineRule="exact" w:line="378"/>
        <w:ind w:firstLineChars="200"/>
        <w:jc w:val="left"/>
      </w:pPr>
      <w:r>
        <w:rPr>
          <w:rFonts w:ascii="宋体" w:hAnsi="宋体" w:cs="宋体" w:eastAsia="宋体"/>
          <w:color w:val="000000"/>
          <w:sz w:val="21"/>
        </w:rPr>
        <w:t>1、单位负责人为同一人或者存在直接控股、管理关系的不同供应商参加同一合同项下的政府采购活动的；</w:t>
      </w:r>
    </w:p>
    <w:p>
      <w:pPr>
        <w:wordWrap w:val="off"/>
        <w:spacing w:before="0" w:after="0" w:lineRule="exact" w:line="378"/>
        <w:ind w:firstLineChars="200"/>
        <w:jc w:val="left"/>
      </w:pPr>
      <w:r>
        <w:rPr>
          <w:rFonts w:ascii="宋体" w:hAnsi="宋体" w:cs="宋体" w:eastAsia="宋体"/>
          <w:color w:val="000000"/>
          <w:sz w:val="21"/>
        </w:rPr>
        <w:t>2、为采购项目提供整体设计、规范编制或者项目管理、监理、检测等服务后再参加该采购项目的其他采购活动的。</w:t>
      </w:r>
    </w:p>
    <w:p>
      <w:pPr>
        <w:spacing w:before="0" w:after="0" w:lineRule="exact" w:line="285"/>
      </w:pPr>
    </w:p>
    <w:p>
      <w:pPr>
        <w:spacing w:before="0" w:after="0" w:lineRule="exact" w:line="270"/>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w:t>
      </w:r>
      <w:r>
        <w:rPr>
          <w:rFonts w:ascii="宋体" w:hAnsi="宋体" w:cs="宋体" w:eastAsia="宋体"/>
          <w:color w:val="000000"/>
          <w:sz w:val="22"/>
        </w:rPr>
        <w:t xml:space="preserve"> 联系电话：</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w:t>
      </w:r>
      <w:r>
        <w:rPr>
          <w:rFonts w:ascii="宋体" w:hAnsi="宋体" w:cs="宋体" w:eastAsia="宋体"/>
          <w:color w:val="000000"/>
          <w:sz w:val="22"/>
        </w:rPr>
        <w:t xml:space="preserve"> 传真号码：</w:t>
      </w:r>
      <w:r>
        <w:rPr>
          <w:rFonts w:ascii="宋体" w:hAnsi="宋体" w:cs="宋体" w:eastAsia="宋体"/>
          <w:color w:val="000000"/>
          <w:sz w:val="22"/>
          <w:u w:val="single"/>
        </w:rPr>
        <w:t>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pacing w:before="0" w:after="0" w:lineRule="exact" w:line="270"/>
      </w:pPr>
    </w:p>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安全保卫部/共享单车服务项目</w:t>
      </w:r>
      <w:r>
        <w:rPr>
          <w:rFonts w:ascii="宋体" w:hAnsi="宋体" w:cs="宋体" w:eastAsia="宋体"/>
          <w:color w:val="000000"/>
          <w:sz w:val="21"/>
        </w:rPr>
        <w:t>（项目名称）</w:t>
      </w:r>
      <w:r>
        <w:rPr>
          <w:rFonts w:ascii="宋体" w:hAnsi="宋体" w:cs="宋体" w:eastAsia="宋体"/>
          <w:color w:val="000000"/>
          <w:sz w:val="21"/>
        </w:rPr>
        <w:t>xz2026-0005</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5、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xz2026-0005</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2026-03-24T01:51:28Z</dcterms:created>
  <dc:creator>Apache POI</dc:creator>
</cp:coreProperties>
</file>