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ZJHU20251218085</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湖州师范学院2026年熙培专家楼物业管理服务外包项目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2025年12月29日 14时00分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ZJHU20251218085</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湖州师范学院2026年熙培专家楼物业管理服务外包项目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20.50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最高限价(总价)：20.50万元，超过最高限价的报价为无效报价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为确保熙培专家楼物业管理服务工作有序衔接，现采购2026年度物业管理服务外包项目，</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2026年01月01日至2026年12月31日内完成项目。</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2025年12月26日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2025年12月29日 14时00分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2025年12月29日 14时00分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投标人无需委派代表到达开标现场。建议以快递的形式寄送投标文件，为确保快递时效请优先考虑顺丰快递。收件人信息：湖州师范学院东校区明达楼207室，张老师，0572-2322188。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钱老师/张老师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0572-2321959/2322188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湖州师范学院2026年熙培专家楼物业管理服务外包项目</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湖州师范学院熙培专家楼</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u w:val="single"/>
              </w:rPr>
              <w:t>2026年01月01日</w:t>
            </w:r>
            <w:r>
              <w:rPr>
                <w:rFonts w:ascii="宋体" w:hAnsi="宋体" w:cs="宋体" w:eastAsia="宋体"/>
                <w:color w:val="000000"/>
                <w:sz w:val="21"/>
              </w:rPr>
              <w:t>至</w:t>
            </w:r>
            <w:r>
              <w:rPr>
                <w:rFonts w:ascii="宋体" w:hAnsi="宋体" w:cs="宋体" w:eastAsia="宋体"/>
                <w:color w:val="000000"/>
                <w:sz w:val="21"/>
                <w:u w:val="single"/>
              </w:rPr>
              <w:t>2026年12月31日</w:t>
            </w:r>
            <w:r>
              <w:rPr>
                <w:rFonts w:ascii="宋体" w:hAnsi="宋体" w:cs="宋体" w:eastAsia="宋体"/>
                <w:color w:val="000000"/>
                <w:sz w:val="21"/>
              </w:rPr>
              <w:t>内完成项目。</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20.50</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20.50万元</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商务条款响应及偏离表；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14.2.6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服务承诺书（包含完全响应招标文件的所有服务内容承诺）；</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服务内容</w:t>
            </w:r>
          </w:p>
        </w:tc>
        <w:tc>
          <w:tcPr>
            <w:tcW w:type="dxa" w:w="25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10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熙培专家楼2026年度物业管理服务外包项目</w:t>
            </w:r>
          </w:p>
        </w:tc>
        <w:tc>
          <w:tcPr>
            <w:tcW w:type="dxa" w:w="25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2026年1月1日至2026年12月31日</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10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详见招标说明</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3420"/>
            <w:tcBorders>
              <w:top w:val="single" w:sz="6"/>
              <w:left w:val="nil"/>
              <w:bottom w:val="nil"/>
              <w:right w:val="nil"/>
            </w:tcBorders>
            <w:tcMar>
              <w:top w:w="20" w:type="dxa"/>
              <w:left w:w="20" w:type="dxa"/>
              <w:bottom w:w="20" w:type="dxa"/>
              <w:right w:w="20" w:type="dxa"/>
            </w:tcMar>
          </w:tcPr>
          <w:p>
            <w:pPr>
              <w:wordWrap w:val="off"/>
            </w:pPr>
          </w:p>
        </w:tc>
        <w:tc>
          <w:tcPr>
            <w:tcW w:type="dxa" w:w="252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109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详见招标说明。</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详见招标说明。</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招标需求、《湖州师范学院熙培专家楼物业服务工作要求》、《违约处理办法》以及国家有关技术规范要求和技术标准等，详见招标说明。</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乙方在收到签订合同邀约后7天内向甲方交纳中标总额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元）的履约保证金。服务期届满后无发现有服务质量问题和其他纠纷的，全额无息退还。</w:t>
      </w:r>
      <w:r>
        <w:rPr>
          <w:rFonts w:ascii="宋体" w:hAnsi="宋体" w:cs="宋体" w:eastAsia="宋体"/>
          <w:color w:val="000000"/>
          <w:sz w:val="21"/>
        </w:rPr>
        <w:t xml:space="preserve"> </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付款：合同服务费用按季度平均计算，每季度费用根据当季考核情况和处理结果进行结算，原则上，每季度费用于考核后次月进行支付；第四季度费用于次年4月支付。（中标人须为浙江省政府采购云平台框架协议物业管理服务入围供应商，如因中标人原因无法在政采云下单采购的，一切后果由中标人承担。）</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项目实施方案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根据供应商整体服务方案和项目的匹配程度、针对性、可行性、先进性等综合评分。（评分范围：0，2,4,6,8，10）</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管理制度</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根据供应商各项物业管理制度、突发应急预案、安全生产管理、内部岗位责任制度、管理运作制度、考核制度及标准等综合评分。（评分范围：0，2,4,6,8，10）</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人员配置方案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根据供应商投入本项目人员的数量、执证（照）情况、年龄结构、岗位经验、职业素养、岗位分工完整性等综合评分（评分范围：0，2,4,6,8,10）</w:t>
            </w:r>
          </w:p>
          <w:p>
            <w:pPr>
              <w:wordWrap w:val="off"/>
              <w:spacing w:before="0" w:after="0" w:lineRule="exact" w:line="378"/>
              <w:jc w:val="left"/>
            </w:pPr>
            <w:r>
              <w:rPr>
                <w:rFonts w:ascii="宋体" w:hAnsi="宋体" w:cs="宋体" w:eastAsia="宋体"/>
                <w:color w:val="000000"/>
                <w:sz w:val="21"/>
              </w:rPr>
              <w:t>本项目人员配置基本要求：项目管理员须具有大专及以上学历，具有物业项目经理或物业从业人员岗位证书；服务人员总数不低于5人，其中项目管理员不超过50周岁；前台工作人员、值班人员及保洁人员不超过55周岁，且至少有1名男性工作人员。（提供相应身份证、学历证明、岗位证书等证明材料，未提供或提供不全或不满足基本要求的作无效标处理。）</w:t>
            </w:r>
          </w:p>
          <w:p>
            <w:pPr>
              <w:wordWrap w:val="off"/>
              <w:spacing w:before="0" w:after="0" w:lineRule="exact" w:line="378"/>
              <w:jc w:val="left"/>
            </w:pPr>
            <w:r>
              <w:rPr>
                <w:rFonts w:ascii="宋体" w:hAnsi="宋体" w:cs="宋体" w:eastAsia="宋体"/>
                <w:color w:val="000000"/>
                <w:sz w:val="21"/>
              </w:rPr>
              <w:t>注：提供相应证明材料。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设备物资配备方案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根据供应商投入本项目的设备物资的全面性、合理性、先进性等综合评分。（评分范围：0，1,3,5）</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员工培训方案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根据供应商可行的员工遵纪守法爱岗教育，安全教育和业务培训计划或培训措施等综合评分。（评分范围：0，1,3,5）</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本地化服务能力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供应商所在地设在湖州市中心城区（吴兴区、南太湖新区）的得5分，湖州市内中心城区外地区的得3分，湖州接壤地区的得1分。</w:t>
            </w:r>
          </w:p>
          <w:p>
            <w:pPr>
              <w:wordWrap w:val="off"/>
              <w:spacing w:before="0" w:after="0" w:lineRule="exact" w:line="378"/>
              <w:jc w:val="left"/>
            </w:pPr>
            <w:r>
              <w:rPr>
                <w:rFonts w:ascii="宋体" w:hAnsi="宋体" w:cs="宋体" w:eastAsia="宋体"/>
                <w:color w:val="000000"/>
                <w:sz w:val="21"/>
              </w:rPr>
              <w:t>注：提供相应证明材料，未提供或提供不全的不得分。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优惠条件及增值服务</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根据供应商所提供的优惠条件及增值服务等是否具有实质性评分，每一条得1分，最多得5分。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企业信誉</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根据供应商提供的浙江省劳动保障信用定级证书进行评定，A级得5分，B级得3分，C级得1分。</w:t>
            </w:r>
          </w:p>
          <w:p>
            <w:pPr>
              <w:wordWrap w:val="off"/>
              <w:spacing w:before="0" w:after="0" w:lineRule="exact" w:line="378"/>
              <w:jc w:val="left"/>
            </w:pPr>
            <w:r>
              <w:rPr>
                <w:rFonts w:ascii="宋体" w:hAnsi="宋体" w:cs="宋体" w:eastAsia="宋体"/>
                <w:color w:val="000000"/>
                <w:sz w:val="21"/>
              </w:rPr>
              <w:t>注：提供证书复印件，未提供的不得分。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企业荣誉</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根据供应商提供的政府行政职能部门或行业主管部门授予的投标人荣誉证书进行评分。</w:t>
            </w:r>
          </w:p>
          <w:p>
            <w:pPr>
              <w:wordWrap w:val="off"/>
              <w:spacing w:before="0" w:after="0" w:lineRule="exact" w:line="378"/>
              <w:jc w:val="left"/>
            </w:pPr>
            <w:r>
              <w:rPr>
                <w:rFonts w:ascii="宋体" w:hAnsi="宋体" w:cs="宋体" w:eastAsia="宋体"/>
                <w:color w:val="000000"/>
                <w:sz w:val="21"/>
              </w:rPr>
              <w:t>有省级，包含省政府所属的部、委、办、局（厅）以上授予的荣誉得5分，有市级，包含市政府所属的部、委、办、局或区、县政府授予的荣誉得3分。</w:t>
            </w:r>
          </w:p>
          <w:p>
            <w:pPr>
              <w:wordWrap w:val="off"/>
              <w:spacing w:before="0" w:after="0" w:lineRule="exact" w:line="378"/>
              <w:jc w:val="left"/>
            </w:pPr>
            <w:r>
              <w:rPr>
                <w:rFonts w:ascii="宋体" w:hAnsi="宋体" w:cs="宋体" w:eastAsia="宋体"/>
                <w:color w:val="000000"/>
                <w:sz w:val="21"/>
              </w:rPr>
              <w:t>注：分值不重复计算，最高得5分，提供证书复印件，未提供的不得分。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11</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企业认证</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供应商具有有效的质量管理体系认证、环境体系认证、职业健康安全体系认证，每提供一个得1分，最高3分。</w:t>
            </w:r>
          </w:p>
          <w:p>
            <w:pPr>
              <w:wordWrap w:val="off"/>
              <w:spacing w:before="0" w:after="0" w:lineRule="exact" w:line="378"/>
              <w:jc w:val="left"/>
            </w:pPr>
            <w:r>
              <w:rPr>
                <w:rFonts w:ascii="宋体" w:hAnsi="宋体" w:cs="宋体" w:eastAsia="宋体"/>
                <w:color w:val="000000"/>
                <w:sz w:val="21"/>
              </w:rPr>
              <w:t>注：提供证书复印件及《国家认证认可监督管理委员会》网站（http://www.cnca.gov.cn）查询截图并盖公章。</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根据供应商2022年1月1日至今（以合同签订时间为准）签订的类似项目合同业绩进行评分，每具有一个综合物业管理项目业绩可得0.5分，最高3分。</w:t>
            </w:r>
          </w:p>
          <w:p>
            <w:pPr>
              <w:wordWrap w:val="off"/>
              <w:spacing w:before="0" w:after="0" w:lineRule="exact" w:line="378"/>
              <w:jc w:val="left"/>
            </w:pPr>
            <w:r>
              <w:rPr>
                <w:rFonts w:ascii="宋体" w:hAnsi="宋体" w:cs="宋体" w:eastAsia="宋体"/>
                <w:color w:val="000000"/>
                <w:sz w:val="21"/>
              </w:rPr>
              <w:t>注：提供合同复印件，并提供合同对应项目的客户满意证明材料，材料缺一不可。</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企业履约能力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供应商同类（个）项目服务时间连续满5年得4分；2至4年得2分,2年以下不得分。</w:t>
            </w:r>
          </w:p>
          <w:p>
            <w:pPr>
              <w:wordWrap w:val="off"/>
              <w:spacing w:before="0" w:after="0" w:lineRule="exact" w:line="378"/>
              <w:jc w:val="left"/>
            </w:pPr>
            <w:r>
              <w:rPr>
                <w:rFonts w:ascii="宋体" w:hAnsi="宋体" w:cs="宋体" w:eastAsia="宋体"/>
                <w:color w:val="000000"/>
                <w:sz w:val="21"/>
              </w:rPr>
              <w:t>注，提供相应证明材料，不提供的不得分。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优惠条件及增值服务</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湖州师范学院2026年熙培专家楼物业管理服务外包项目</w:t>
      </w:r>
      <w:r>
        <w:rPr>
          <w:rFonts w:ascii="宋体" w:hAnsi="宋体" w:cs="宋体" w:eastAsia="宋体"/>
          <w:b w:val="true"/>
          <w:color w:val="000000"/>
          <w:sz w:val="36"/>
        </w:rPr>
        <w:t>合同（服务）</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xz2025-N0059</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湖州师范学院2026年熙培专家楼物业管理服务外包项目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7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31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12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服务期限</w:t>
            </w:r>
          </w:p>
        </w:tc>
        <w:tc>
          <w:tcPr>
            <w:tcW w:type="dxa" w:w="28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完成标准</w:t>
            </w:r>
          </w:p>
        </w:tc>
        <w:tc>
          <w:tcPr>
            <w:tcW w:type="dxa" w:w="129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服务费（元）</w:t>
            </w:r>
          </w:p>
        </w:tc>
        <w:tc>
          <w:tcPr>
            <w:tcW w:type="dxa" w:w="72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72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66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31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熙培专家楼2026年度物业管理服务外包项目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2026年1月1日至2026年12月31日</w:t>
            </w:r>
          </w:p>
        </w:tc>
        <w:tc>
          <w:tcPr>
            <w:tcW w:type="dxa" w:w="28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详见招标说明</w:t>
            </w:r>
          </w:p>
        </w:tc>
        <w:tc>
          <w:tcPr>
            <w:tcW w:type="dxa" w:w="12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详见招标说明。</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付款：合同服务费用按季度平均计算，每季度费用根据当季考核情况和处理结果进行结算，原则上，每季度费用于考核后次月进行支付；第四季度费用于次年4月支付。（中标人须为浙江省政府采购云平台框架协议物业管理服务入围供应商，如因中标人原因无法在政采云下单采购的，一切后果由中标人承担。）</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）服务期：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2026年01月01日</w:t>
      </w:r>
      <w:r>
        <w:rPr>
          <w:rFonts w:ascii="宋体" w:hAnsi="宋体" w:cs="宋体" w:eastAsia="宋体"/>
          <w:color w:val="000000"/>
          <w:sz w:val="21"/>
        </w:rPr>
        <w:t>至</w:t>
      </w:r>
      <w:r>
        <w:rPr>
          <w:rFonts w:ascii="宋体" w:hAnsi="宋体" w:cs="宋体" w:eastAsia="宋体"/>
          <w:color w:val="000000"/>
          <w:sz w:val="21"/>
          <w:u w:val="single"/>
        </w:rPr>
        <w:t>2026年12月31日</w:t>
      </w:r>
      <w:r>
        <w:rPr>
          <w:rFonts w:ascii="宋体" w:hAnsi="宋体" w:cs="宋体" w:eastAsia="宋体"/>
          <w:color w:val="000000"/>
          <w:sz w:val="21"/>
        </w:rPr>
        <w:t>内完成项目（具体时间以甲方通知为准）。</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湖州师范学院熙培专家楼</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乙方在收到签订合同邀约后7天内向甲方交纳中标总额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rPr>
        <w:t>　　　</w:t>
      </w:r>
      <w:r>
        <w:rPr>
          <w:rFonts w:ascii="宋体" w:hAnsi="宋体" w:cs="宋体" w:eastAsia="宋体"/>
          <w:color w:val="000000"/>
          <w:sz w:val="21"/>
        </w:rPr>
        <w:t>元）的履约保证金。服务期届满后无发现有服务质量问题和其他纠纷的，全额无息退还。</w:t>
      </w:r>
      <w:r>
        <w:rPr>
          <w:rFonts w:ascii="宋体" w:hAnsi="宋体" w:cs="宋体" w:eastAsia="宋体"/>
          <w:color w:val="000000"/>
          <w:sz w:val="21"/>
        </w:rPr>
        <w:t xml:space="preserve"> </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后勤服务中心组织试用期考核和季度考核。</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符合采购需求，符合我国国家有关技术规范要求和技术标准，符合《湖州师范学院熙培专家楼物业服务工作要求》等规定，服务档案完整。</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）服务期：</w:t>
      </w:r>
      <w:r>
        <w:rPr>
          <w:rFonts w:ascii="宋体" w:hAnsi="宋体" w:cs="宋体" w:eastAsia="宋体"/>
          <w:color w:val="000000"/>
          <w:sz w:val="21"/>
        </w:rPr>
        <w:t>/</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）服务期内服务：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）服务期外服务：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由双方协商确定（填写具体协商内容）。</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　</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　</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湖州师范学院2026年熙培专家楼物业管理服务外包项目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ZJHU20251218085</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单价(元/</w:t>
            </w:r>
            <w:r>
              <w:rPr>
                <w:rFonts w:ascii="宋体" w:hAnsi="宋体" w:cs="宋体" w:eastAsia="宋体"/>
                <w:color w:val="000000"/>
                <w:sz w:val="21"/>
              </w:rPr>
              <w:t>项</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熙培专家楼2026年度物业管理服务外包项目</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2026年1月1日至2026年12月31日</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6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3、授权委托书或法定代表人（单位负责人、自然人本人）身份证明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4、商务条款响应及偏离表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湖州师范学院2026年熙培专家楼物业管理服务外包项目</w:t>
      </w:r>
      <w:r>
        <w:rPr>
          <w:rFonts w:ascii="宋体" w:hAnsi="宋体" w:cs="宋体" w:eastAsia="宋体"/>
          <w:color w:val="000000"/>
          <w:sz w:val="21"/>
        </w:rPr>
        <w:t>(项目编号：</w:t>
      </w:r>
      <w:r>
        <w:rPr>
          <w:rFonts w:ascii="宋体" w:hAnsi="宋体" w:cs="宋体" w:eastAsia="宋体"/>
          <w:color w:val="000000"/>
          <w:sz w:val="21"/>
          <w:u w:val="single"/>
        </w:rPr>
        <w:t>ZJHU20251218085</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湖州师范学院2026年熙培专家楼物业管理服务外包项目</w:t>
      </w:r>
      <w:r>
        <w:rPr>
          <w:rFonts w:ascii="宋体" w:hAnsi="宋体" w:cs="宋体" w:eastAsia="宋体"/>
          <w:color w:val="000000"/>
          <w:sz w:val="21"/>
        </w:rPr>
        <w:t>（项目名称）</w:t>
      </w:r>
      <w:r>
        <w:rPr>
          <w:rFonts w:ascii="宋体" w:hAnsi="宋体" w:cs="宋体" w:eastAsia="宋体"/>
          <w:color w:val="000000"/>
          <w:sz w:val="21"/>
        </w:rPr>
        <w:t>ZJHU20251218085</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序号</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2"/>
              </w:rPr>
              <w:t>招标文件章节及具体内容</w:t>
            </w: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投标文件章节及具体内容</w:t>
            </w: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偏离说明</w:t>
            </w: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40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before="6" w:after="6"/>
        <w:ind w:firstLineChars="100"/>
        <w:jc w:val="left"/>
      </w:pPr>
      <w:r>
        <w:rPr>
          <w:rFonts w:ascii="宋体" w:hAnsi="宋体" w:cs="宋体" w:eastAsia="宋体"/>
          <w:color w:val="000000"/>
          <w:sz w:val="21"/>
        </w:rPr>
        <w:t>投标人保证：除商务技术偏离表列出的偏离外，投标人响应招标文件的全部要求</w:t>
      </w:r>
    </w:p>
    <w:p>
      <w:pPr>
        <w:spacing w:before="0" w:after="0" w:lineRule="exact" w:line="390"/>
      </w:pPr>
    </w:p>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270"/>
        </w:trPr>
        <w:tc>
          <w:tcPr>
            <w:tcW w:type="dxa" w:w="630"/>
            <w:tcBorders>
              <w:top w:val="nil"/>
              <w:left w:val="nil"/>
              <w:bottom w:val="nil"/>
              <w:right w:val="nil"/>
            </w:tcBorders>
            <w:tcMar>
              <w:top w:w="20" w:type="dxa"/>
              <w:left w:w="20" w:type="dxa"/>
              <w:bottom w:w="20" w:type="dxa"/>
              <w:right w:w="20" w:type="dxa"/>
            </w:tcMar>
            <w:vAlign w:val="center"/>
          </w:tcPr>
          <w:p>
            <w:pPr>
              <w:wordWrap w:val="off"/>
            </w:pPr>
          </w:p>
        </w:tc>
        <w:tc>
          <w:tcPr>
            <w:tcW w:type="dxa" w:w="4035"/>
            <w:tcBorders>
              <w:top w:val="nil"/>
              <w:left w:val="nil"/>
              <w:bottom w:val="nil"/>
              <w:right w:val="nil"/>
            </w:tcBorders>
            <w:tcMar>
              <w:top w:w="20" w:type="dxa"/>
              <w:left w:w="20" w:type="dxa"/>
              <w:bottom w:w="20" w:type="dxa"/>
              <w:right w:w="20" w:type="dxa"/>
            </w:tcMar>
            <w:vAlign w:val="center"/>
          </w:tcPr>
          <w:p>
            <w:pPr>
              <w:wordWrap w:val="off"/>
            </w:pPr>
          </w:p>
        </w:tc>
        <w:tc>
          <w:tcPr>
            <w:tcW w:type="dxa" w:w="343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r>
        <w:trPr>
          <w:trHeight w:val="270"/>
        </w:trPr>
        <w:tc>
          <w:tcPr>
            <w:tcW w:type="dxa" w:w="4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tcW w:type="dxa" w:w="3435"/>
            <w:tcBorders>
              <w:top w:val="nil"/>
              <w:left w:val="nil"/>
              <w:bottom w:val="nil"/>
              <w:right w:val="nil"/>
            </w:tcBorders>
            <w:tcMar>
              <w:top w:w="20" w:type="dxa"/>
              <w:left w:w="20" w:type="dxa"/>
              <w:bottom w:w="20" w:type="dxa"/>
              <w:right w:w="20" w:type="dxa"/>
            </w:tcMar>
            <w:vAlign w:val="center"/>
          </w:tcPr>
          <w:p>
            <w:pPr>
              <w:wordWrap w:val="off"/>
            </w:pP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ZJHU20251218085</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2025-12-22T03:06:29Z</dcterms:created>
  <dc:creator>Apache POI</dc:creator>
</cp:coreProperties>
</file>