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C56DA">
      <w:pPr>
        <w:keepNext w:val="0"/>
        <w:keepLines w:val="0"/>
        <w:pageBreakBefore w:val="0"/>
        <w:widowControl w:val="0"/>
        <w:kinsoku/>
        <w:wordWrap/>
        <w:overflowPunct/>
        <w:topLinePunct w:val="0"/>
        <w:autoSpaceDE/>
        <w:autoSpaceDN/>
        <w:bidi w:val="0"/>
        <w:spacing w:line="520" w:lineRule="exact"/>
        <w:jc w:val="center"/>
        <w:textAlignment w:val="auto"/>
        <w:rPr>
          <w:rFonts w:hint="eastAsia" w:ascii="方正小标宋简体" w:hAnsi="方正小标宋简体" w:eastAsia="方正小标宋简体" w:cs="方正小标宋简体"/>
          <w:bCs/>
          <w:sz w:val="36"/>
          <w:szCs w:val="36"/>
          <w:lang w:val="en-US" w:eastAsia="zh-CN"/>
        </w:rPr>
      </w:pPr>
      <w:r>
        <w:rPr>
          <w:rFonts w:hint="eastAsia" w:ascii="方正小标宋简体" w:hAnsi="方正小标宋简体" w:eastAsia="方正小标宋简体" w:cs="方正小标宋简体"/>
          <w:bCs/>
          <w:sz w:val="36"/>
          <w:szCs w:val="36"/>
          <w:lang w:val="en-US" w:eastAsia="zh-CN"/>
        </w:rPr>
        <w:t>湖州师范学院</w:t>
      </w:r>
      <w:r>
        <w:rPr>
          <w:rFonts w:hint="eastAsia" w:ascii="方正小标宋简体" w:hAnsi="方正小标宋简体" w:eastAsia="方正小标宋简体" w:cs="方正小标宋简体"/>
          <w:bCs/>
          <w:sz w:val="36"/>
          <w:szCs w:val="36"/>
        </w:rPr>
        <w:t>202</w:t>
      </w:r>
      <w:r>
        <w:rPr>
          <w:rFonts w:hint="eastAsia" w:ascii="方正小标宋简体" w:hAnsi="方正小标宋简体" w:eastAsia="方正小标宋简体" w:cs="方正小标宋简体"/>
          <w:bCs/>
          <w:sz w:val="36"/>
          <w:szCs w:val="36"/>
          <w:lang w:val="en-US" w:eastAsia="zh-CN"/>
        </w:rPr>
        <w:t>6</w:t>
      </w:r>
      <w:r>
        <w:rPr>
          <w:rFonts w:hint="eastAsia" w:ascii="方正小标宋简体" w:hAnsi="方正小标宋简体" w:eastAsia="方正小标宋简体" w:cs="方正小标宋简体"/>
          <w:bCs/>
          <w:sz w:val="36"/>
          <w:szCs w:val="36"/>
        </w:rPr>
        <w:t>年熙培专家楼物业管理服务</w:t>
      </w:r>
      <w:r>
        <w:rPr>
          <w:rFonts w:hint="eastAsia" w:ascii="方正小标宋简体" w:hAnsi="方正小标宋简体" w:eastAsia="方正小标宋简体" w:cs="方正小标宋简体"/>
          <w:bCs/>
          <w:sz w:val="36"/>
          <w:szCs w:val="36"/>
          <w:lang w:val="en-US" w:eastAsia="zh-CN"/>
        </w:rPr>
        <w:t>外包</w:t>
      </w:r>
      <w:r>
        <w:rPr>
          <w:rFonts w:hint="eastAsia" w:ascii="方正小标宋简体" w:hAnsi="方正小标宋简体" w:eastAsia="方正小标宋简体" w:cs="方正小标宋简体"/>
          <w:bCs/>
          <w:sz w:val="36"/>
          <w:szCs w:val="36"/>
        </w:rPr>
        <w:t>项目招标说明</w:t>
      </w:r>
    </w:p>
    <w:p w14:paraId="01E8AAC4">
      <w:pPr>
        <w:pStyle w:val="4"/>
        <w:keepNext w:val="0"/>
        <w:keepLines w:val="0"/>
        <w:pageBreakBefore w:val="0"/>
        <w:widowControl w:val="0"/>
        <w:kinsoku/>
        <w:wordWrap/>
        <w:overflowPunct/>
        <w:topLinePunct w:val="0"/>
        <w:autoSpaceDE/>
        <w:autoSpaceDN/>
        <w:bidi w:val="0"/>
        <w:spacing w:line="520" w:lineRule="exact"/>
        <w:jc w:val="both"/>
        <w:textAlignment w:val="auto"/>
        <w:rPr>
          <w:rFonts w:hint="eastAsia"/>
          <w:sz w:val="28"/>
          <w:szCs w:val="28"/>
          <w:lang w:val="en-US" w:eastAsia="zh-CN"/>
        </w:rPr>
      </w:pPr>
    </w:p>
    <w:p w14:paraId="2035C5F1">
      <w:pPr>
        <w:keepNext w:val="0"/>
        <w:keepLines w:val="0"/>
        <w:pageBreakBefore w:val="0"/>
        <w:widowControl w:val="0"/>
        <w:kinsoku/>
        <w:wordWrap/>
        <w:overflowPunct/>
        <w:topLinePunct w:val="0"/>
        <w:autoSpaceDE/>
        <w:autoSpaceDN/>
        <w:bidi w:val="0"/>
        <w:spacing w:line="52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color w:val="000000" w:themeColor="text1"/>
          <w:sz w:val="28"/>
          <w:szCs w:val="28"/>
          <w14:textFill>
            <w14:solidFill>
              <w14:schemeClr w14:val="tx1"/>
            </w14:solidFill>
          </w14:textFill>
        </w:rPr>
        <w:t>熙培专家楼</w:t>
      </w:r>
      <w:r>
        <w:rPr>
          <w:rFonts w:hint="eastAsia" w:ascii="仿宋" w:hAnsi="仿宋" w:eastAsia="仿宋" w:cs="仿宋"/>
          <w:color w:val="000000" w:themeColor="text1"/>
          <w:sz w:val="28"/>
          <w:szCs w:val="28"/>
          <w:lang w:val="en-US" w:eastAsia="zh-CN"/>
          <w14:textFill>
            <w14:solidFill>
              <w14:schemeClr w14:val="tx1"/>
            </w14:solidFill>
          </w14:textFill>
        </w:rPr>
        <w:t>2025</w:t>
      </w:r>
      <w:r>
        <w:rPr>
          <w:rFonts w:hint="eastAsia" w:ascii="仿宋" w:hAnsi="仿宋" w:eastAsia="仿宋" w:cs="仿宋"/>
          <w:color w:val="000000" w:themeColor="text1"/>
          <w:sz w:val="28"/>
          <w:szCs w:val="28"/>
          <w14:textFill>
            <w14:solidFill>
              <w14:schemeClr w14:val="tx1"/>
            </w14:solidFill>
          </w14:textFill>
        </w:rPr>
        <w:t>年度物业管理服务项目将于</w:t>
      </w:r>
      <w:r>
        <w:rPr>
          <w:rFonts w:hint="eastAsia" w:ascii="仿宋" w:hAnsi="仿宋" w:eastAsia="仿宋" w:cs="仿宋"/>
          <w:color w:val="000000" w:themeColor="text1"/>
          <w:sz w:val="28"/>
          <w:szCs w:val="28"/>
          <w:lang w:val="en-US" w:eastAsia="zh-CN"/>
          <w14:textFill>
            <w14:solidFill>
              <w14:schemeClr w14:val="tx1"/>
            </w14:solidFill>
          </w14:textFill>
        </w:rPr>
        <w:t>2025</w:t>
      </w:r>
      <w:r>
        <w:rPr>
          <w:rFonts w:hint="eastAsia" w:ascii="仿宋" w:hAnsi="仿宋" w:eastAsia="仿宋" w:cs="仿宋"/>
          <w:color w:val="000000" w:themeColor="text1"/>
          <w:sz w:val="28"/>
          <w:szCs w:val="28"/>
          <w14:textFill>
            <w14:solidFill>
              <w14:schemeClr w14:val="tx1"/>
            </w14:solidFill>
          </w14:textFill>
        </w:rPr>
        <w:t>年12月31日到期，为确保该楼宇物业管理</w:t>
      </w:r>
      <w:r>
        <w:rPr>
          <w:rFonts w:hint="eastAsia" w:ascii="仿宋" w:hAnsi="仿宋" w:eastAsia="仿宋" w:cs="仿宋"/>
          <w:color w:val="000000" w:themeColor="text1"/>
          <w:sz w:val="28"/>
          <w:szCs w:val="28"/>
          <w:lang w:val="en-US" w:eastAsia="zh-CN"/>
          <w14:textFill>
            <w14:solidFill>
              <w14:schemeClr w14:val="tx1"/>
            </w14:solidFill>
          </w14:textFill>
        </w:rPr>
        <w:t>服务</w:t>
      </w:r>
      <w:r>
        <w:rPr>
          <w:rFonts w:hint="eastAsia" w:ascii="仿宋" w:hAnsi="仿宋" w:eastAsia="仿宋" w:cs="仿宋"/>
          <w:color w:val="000000" w:themeColor="text1"/>
          <w:sz w:val="28"/>
          <w:szCs w:val="28"/>
          <w14:textFill>
            <w14:solidFill>
              <w14:schemeClr w14:val="tx1"/>
            </w14:solidFill>
          </w14:textFill>
        </w:rPr>
        <w:t>工作有序衔接，现提请采购</w:t>
      </w:r>
      <w:r>
        <w:rPr>
          <w:rFonts w:hint="eastAsia" w:ascii="仿宋" w:hAnsi="仿宋" w:eastAsia="仿宋" w:cs="仿宋"/>
          <w:color w:val="000000" w:themeColor="text1"/>
          <w:sz w:val="28"/>
          <w:szCs w:val="28"/>
          <w:lang w:val="en-US" w:eastAsia="zh-CN"/>
          <w14:textFill>
            <w14:solidFill>
              <w14:schemeClr w14:val="tx1"/>
            </w14:solidFill>
          </w14:textFill>
        </w:rPr>
        <w:t>2026</w:t>
      </w:r>
      <w:r>
        <w:rPr>
          <w:rFonts w:hint="eastAsia" w:ascii="仿宋" w:hAnsi="仿宋" w:eastAsia="仿宋" w:cs="仿宋"/>
          <w:color w:val="000000" w:themeColor="text1"/>
          <w:sz w:val="28"/>
          <w:szCs w:val="28"/>
          <w14:textFill>
            <w14:solidFill>
              <w14:schemeClr w14:val="tx1"/>
            </w14:solidFill>
          </w14:textFill>
        </w:rPr>
        <w:t>年度物业管理服务</w:t>
      </w:r>
      <w:r>
        <w:rPr>
          <w:rFonts w:hint="eastAsia" w:ascii="仿宋" w:hAnsi="仿宋" w:eastAsia="仿宋" w:cs="仿宋"/>
          <w:color w:val="000000" w:themeColor="text1"/>
          <w:sz w:val="28"/>
          <w:szCs w:val="28"/>
          <w:lang w:val="en-US" w:eastAsia="zh-CN"/>
          <w14:textFill>
            <w14:solidFill>
              <w14:schemeClr w14:val="tx1"/>
            </w14:solidFill>
          </w14:textFill>
        </w:rPr>
        <w:t>外包</w:t>
      </w:r>
      <w:r>
        <w:rPr>
          <w:rFonts w:hint="eastAsia" w:ascii="仿宋" w:hAnsi="仿宋" w:eastAsia="仿宋" w:cs="仿宋"/>
          <w:color w:val="000000" w:themeColor="text1"/>
          <w:sz w:val="28"/>
          <w:szCs w:val="28"/>
          <w14:textFill>
            <w14:solidFill>
              <w14:schemeClr w14:val="tx1"/>
            </w14:solidFill>
          </w14:textFill>
        </w:rPr>
        <w:t>项目</w:t>
      </w:r>
      <w:r>
        <w:rPr>
          <w:rFonts w:hint="eastAsia" w:ascii="仿宋" w:hAnsi="仿宋" w:eastAsia="仿宋" w:cs="仿宋"/>
          <w:sz w:val="28"/>
          <w:szCs w:val="28"/>
        </w:rPr>
        <w:t>。</w:t>
      </w:r>
    </w:p>
    <w:p w14:paraId="25E567D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黑体" w:hAnsi="黑体" w:eastAsia="黑体" w:cs="黑体"/>
          <w:b w:val="0"/>
          <w:bCs/>
          <w:sz w:val="28"/>
          <w:szCs w:val="28"/>
          <w:lang w:eastAsia="zh-CN"/>
        </w:rPr>
      </w:pPr>
      <w:r>
        <w:rPr>
          <w:rFonts w:hint="eastAsia" w:ascii="黑体" w:hAnsi="黑体" w:eastAsia="黑体" w:cs="黑体"/>
          <w:b w:val="0"/>
          <w:bCs/>
          <w:sz w:val="28"/>
          <w:szCs w:val="28"/>
          <w:lang w:val="en-US" w:eastAsia="zh-CN"/>
        </w:rPr>
        <w:t>一、基本情况</w:t>
      </w:r>
    </w:p>
    <w:p w14:paraId="66B306B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熙培专家楼位于湖州师范学院西校区内，为9层建筑，总建筑</w:t>
      </w:r>
      <w:r>
        <w:rPr>
          <w:rFonts w:hint="eastAsia" w:ascii="仿宋" w:hAnsi="仿宋" w:eastAsia="仿宋" w:cs="仿宋"/>
          <w:sz w:val="28"/>
          <w:szCs w:val="28"/>
          <w:lang w:val="en-US" w:eastAsia="zh-CN"/>
        </w:rPr>
        <w:t>面积为</w:t>
      </w:r>
      <w:r>
        <w:rPr>
          <w:rFonts w:hint="eastAsia" w:ascii="仿宋" w:hAnsi="仿宋" w:eastAsia="仿宋" w:cs="仿宋"/>
          <w:color w:val="000000" w:themeColor="text1"/>
          <w:sz w:val="28"/>
          <w:szCs w:val="28"/>
          <w14:textFill>
            <w14:solidFill>
              <w14:schemeClr w14:val="tx1"/>
            </w14:solidFill>
          </w14:textFill>
        </w:rPr>
        <w:t>5254平</w:t>
      </w:r>
      <w:r>
        <w:rPr>
          <w:rFonts w:hint="eastAsia" w:ascii="仿宋" w:hAnsi="仿宋" w:eastAsia="仿宋" w:cs="仿宋"/>
          <w:sz w:val="28"/>
          <w:szCs w:val="28"/>
        </w:rPr>
        <w:t>方米，2001年投入使用。现共有大小房间73</w:t>
      </w:r>
      <w:r>
        <w:rPr>
          <w:rFonts w:hint="eastAsia" w:ascii="仿宋" w:hAnsi="仿宋" w:eastAsia="仿宋" w:cs="仿宋"/>
          <w:sz w:val="28"/>
          <w:szCs w:val="28"/>
          <w:lang w:val="en-US" w:eastAsia="zh-CN"/>
        </w:rPr>
        <w:t>间，主要入住为本校</w:t>
      </w:r>
      <w:r>
        <w:rPr>
          <w:rFonts w:hint="eastAsia" w:ascii="仿宋" w:hAnsi="仿宋" w:eastAsia="仿宋" w:cs="仿宋"/>
          <w:sz w:val="28"/>
          <w:szCs w:val="28"/>
        </w:rPr>
        <w:t>教师、外籍访学者、临时聘请的专家教授等。</w:t>
      </w:r>
    </w:p>
    <w:p w14:paraId="3624535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default"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二、主要服务内容及要求</w:t>
      </w:r>
    </w:p>
    <w:p w14:paraId="022F6F29">
      <w:pPr>
        <w:pStyle w:val="4"/>
        <w:keepNext w:val="0"/>
        <w:keepLines w:val="0"/>
        <w:pageBreakBefore w:val="0"/>
        <w:widowControl w:val="0"/>
        <w:kinsoku/>
        <w:wordWrap/>
        <w:overflowPunct/>
        <w:topLinePunct w:val="0"/>
        <w:autoSpaceDE/>
        <w:autoSpaceDN/>
        <w:bidi w:val="0"/>
        <w:spacing w:after="0" w:line="52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1.实行大楼24小时值班管理制度，做好前台的接待、登记等工作。 </w:t>
      </w:r>
    </w:p>
    <w:p w14:paraId="2721DF87">
      <w:pPr>
        <w:pStyle w:val="4"/>
        <w:keepNext w:val="0"/>
        <w:keepLines w:val="0"/>
        <w:pageBreakBefore w:val="0"/>
        <w:widowControl w:val="0"/>
        <w:kinsoku/>
        <w:wordWrap/>
        <w:overflowPunct/>
        <w:topLinePunct w:val="0"/>
        <w:autoSpaceDE/>
        <w:autoSpaceDN/>
        <w:bidi w:val="0"/>
        <w:spacing w:after="0" w:line="52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2.做好学校值班室等相关用房提供宾馆化保洁与管理（具体用房由学校指定）。</w:t>
      </w:r>
    </w:p>
    <w:p w14:paraId="322133CF">
      <w:pPr>
        <w:keepNext w:val="0"/>
        <w:keepLines w:val="0"/>
        <w:pageBreakBefore w:val="0"/>
        <w:widowControl w:val="0"/>
        <w:kinsoku/>
        <w:wordWrap/>
        <w:overflowPunct/>
        <w:topLinePunct w:val="0"/>
        <w:autoSpaceDE/>
        <w:autoSpaceDN/>
        <w:bidi w:val="0"/>
        <w:spacing w:line="52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3.做好大楼日常物业服务、入住人员服务及固定资产管理等工作，建立完整详实的卫生保洁、入住人员、设施设备等各类信息台账，其中设施设备做好日常维护和检查，如有损坏需及时报修。</w:t>
      </w:r>
    </w:p>
    <w:p w14:paraId="1AA5FC40">
      <w:pPr>
        <w:keepNext w:val="0"/>
        <w:keepLines w:val="0"/>
        <w:pageBreakBefore w:val="0"/>
        <w:widowControl w:val="0"/>
        <w:kinsoku/>
        <w:wordWrap/>
        <w:overflowPunct/>
        <w:topLinePunct w:val="0"/>
        <w:autoSpaceDE/>
        <w:autoSpaceDN/>
        <w:bidi w:val="0"/>
        <w:spacing w:line="520" w:lineRule="exact"/>
        <w:ind w:firstLine="560" w:firstLineChars="200"/>
        <w:textAlignment w:val="auto"/>
        <w:rPr>
          <w:rFonts w:hint="eastAsia" w:ascii="仿宋" w:hAnsi="仿宋" w:eastAsia="仿宋" w:cs="仿宋"/>
          <w:kern w:val="2"/>
          <w:sz w:val="28"/>
          <w:szCs w:val="28"/>
          <w:highlight w:val="none"/>
          <w:lang w:val="en-US" w:eastAsia="zh-CN" w:bidi="ar-SA"/>
        </w:rPr>
      </w:pPr>
      <w:r>
        <w:rPr>
          <w:rFonts w:hint="eastAsia" w:ascii="仿宋" w:hAnsi="仿宋" w:eastAsia="仿宋" w:cs="仿宋"/>
          <w:kern w:val="2"/>
          <w:sz w:val="28"/>
          <w:szCs w:val="28"/>
          <w:lang w:val="en-US" w:eastAsia="zh-CN" w:bidi="ar-SA"/>
        </w:rPr>
        <w:t>4.建立大楼物业管理服务档案并及时记载有关变更情况；服</w:t>
      </w:r>
      <w:r>
        <w:rPr>
          <w:rFonts w:hint="eastAsia" w:ascii="仿宋" w:hAnsi="仿宋" w:eastAsia="仿宋" w:cs="仿宋"/>
          <w:kern w:val="2"/>
          <w:sz w:val="28"/>
          <w:szCs w:val="28"/>
          <w:highlight w:val="none"/>
          <w:lang w:val="en-US" w:eastAsia="zh-CN" w:bidi="ar-SA"/>
        </w:rPr>
        <w:t>务期满，需及时向学校移交全部物业管理档案及有关资料。</w:t>
      </w:r>
    </w:p>
    <w:p w14:paraId="027127D0">
      <w:pPr>
        <w:keepNext w:val="0"/>
        <w:keepLines w:val="0"/>
        <w:pageBreakBefore w:val="0"/>
        <w:widowControl w:val="0"/>
        <w:kinsoku/>
        <w:wordWrap/>
        <w:overflowPunct/>
        <w:topLinePunct w:val="0"/>
        <w:autoSpaceDE/>
        <w:autoSpaceDN/>
        <w:bidi w:val="0"/>
        <w:spacing w:line="52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kern w:val="2"/>
          <w:sz w:val="28"/>
          <w:szCs w:val="28"/>
          <w:highlight w:val="none"/>
          <w:lang w:val="en-US" w:eastAsia="zh-CN" w:bidi="ar-SA"/>
        </w:rPr>
        <w:t>具体内容及要求遵照《湖州师范学院熙培专家楼物业服务工作要求》（附件1）执行。</w:t>
      </w:r>
    </w:p>
    <w:p w14:paraId="3BCD6D7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三、服务期限</w:t>
      </w:r>
    </w:p>
    <w:p w14:paraId="10ECF5D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202</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年1月1日至202</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年12月31日</w:t>
      </w:r>
    </w:p>
    <w:p w14:paraId="7388B84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四、考核要求与费用支付</w:t>
      </w:r>
    </w:p>
    <w:p w14:paraId="1596CA27">
      <w:pPr>
        <w:pStyle w:val="4"/>
        <w:keepNext w:val="0"/>
        <w:keepLines w:val="0"/>
        <w:pageBreakBefore w:val="0"/>
        <w:widowControl w:val="0"/>
        <w:kinsoku/>
        <w:wordWrap/>
        <w:overflowPunct/>
        <w:topLinePunct w:val="0"/>
        <w:autoSpaceDE/>
        <w:autoSpaceDN/>
        <w:bidi w:val="0"/>
        <w:spacing w:after="0" w:line="520" w:lineRule="exact"/>
        <w:ind w:firstLine="562"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b/>
          <w:bCs/>
          <w:sz w:val="28"/>
          <w:szCs w:val="28"/>
          <w:lang w:val="en-US" w:eastAsia="zh-CN"/>
        </w:rPr>
        <w:t>1.考核要求：</w:t>
      </w:r>
      <w:r>
        <w:rPr>
          <w:rFonts w:hint="eastAsia" w:ascii="仿宋" w:hAnsi="仿宋" w:eastAsia="仿宋" w:cs="仿宋"/>
          <w:b w:val="0"/>
          <w:bCs w:val="0"/>
          <w:sz w:val="28"/>
          <w:szCs w:val="28"/>
          <w:lang w:val="en-US" w:eastAsia="zh-CN"/>
        </w:rPr>
        <w:t>中标单位</w:t>
      </w:r>
      <w:r>
        <w:rPr>
          <w:rFonts w:hint="eastAsia" w:ascii="仿宋" w:hAnsi="仿宋" w:eastAsia="仿宋" w:cs="仿宋"/>
          <w:sz w:val="28"/>
          <w:szCs w:val="28"/>
          <w:lang w:val="en-US" w:eastAsia="zh-CN"/>
        </w:rPr>
        <w:t>中标后签订合同，试用一个月，经考核合格后合同继续</w:t>
      </w:r>
      <w:r>
        <w:rPr>
          <w:rFonts w:hint="eastAsia" w:ascii="仿宋" w:hAnsi="仿宋" w:eastAsia="仿宋" w:cs="仿宋"/>
          <w:sz w:val="28"/>
          <w:szCs w:val="28"/>
          <w:highlight w:val="none"/>
          <w:lang w:val="en-US" w:eastAsia="zh-CN"/>
        </w:rPr>
        <w:t>履行；如考核不合格，校方有权单方面终止合同。在合同履行期间，按照《</w:t>
      </w:r>
      <w:r>
        <w:rPr>
          <w:rFonts w:hint="eastAsia" w:ascii="仿宋" w:hAnsi="仿宋" w:eastAsia="仿宋" w:cs="仿宋"/>
          <w:bCs/>
          <w:color w:val="000000" w:themeColor="text1"/>
          <w:sz w:val="28"/>
          <w:szCs w:val="28"/>
          <w:highlight w:val="none"/>
          <w14:textFill>
            <w14:solidFill>
              <w14:schemeClr w14:val="tx1"/>
            </w14:solidFill>
          </w14:textFill>
        </w:rPr>
        <w:t>湖州师范学院熙培专家楼物业服务</w:t>
      </w:r>
      <w:r>
        <w:rPr>
          <w:rFonts w:hint="eastAsia" w:ascii="仿宋" w:hAnsi="仿宋" w:eastAsia="仿宋" w:cs="仿宋"/>
          <w:bCs/>
          <w:color w:val="000000" w:themeColor="text1"/>
          <w:sz w:val="28"/>
          <w:szCs w:val="28"/>
          <w:highlight w:val="none"/>
          <w:lang w:val="en-US" w:eastAsia="zh-CN"/>
          <w14:textFill>
            <w14:solidFill>
              <w14:schemeClr w14:val="tx1"/>
            </w14:solidFill>
          </w14:textFill>
        </w:rPr>
        <w:t>工作要求》</w:t>
      </w:r>
      <w:r>
        <w:rPr>
          <w:rFonts w:hint="eastAsia" w:ascii="仿宋" w:hAnsi="仿宋" w:eastAsia="仿宋" w:cs="仿宋"/>
          <w:sz w:val="28"/>
          <w:szCs w:val="28"/>
          <w:highlight w:val="none"/>
          <w:lang w:val="en-US" w:eastAsia="zh-CN"/>
        </w:rPr>
        <w:t>（附件1）《湖州师范学院熙培专家楼物业管理服务工作考核表》（附件2）对中标单位进行考核，如出现违约情况，按《违约处理办法》（附件3）执行，</w:t>
      </w:r>
      <w:r>
        <w:rPr>
          <w:rFonts w:hint="eastAsia" w:ascii="仿宋" w:hAnsi="仿宋" w:eastAsia="仿宋" w:cs="仿宋"/>
          <w:sz w:val="28"/>
          <w:szCs w:val="28"/>
          <w:highlight w:val="none"/>
          <w:shd w:val="clear" w:fill="FFFFFF" w:themeFill="background1"/>
          <w:lang w:val="en-US" w:eastAsia="zh-CN"/>
        </w:rPr>
        <w:t>因中标单位自身原因导致服务合同被终止的，招标单位不承担任何因此产生的责任与费用。</w:t>
      </w:r>
    </w:p>
    <w:p w14:paraId="21FFA080">
      <w:pPr>
        <w:keepNext w:val="0"/>
        <w:keepLines w:val="0"/>
        <w:pageBreakBefore w:val="0"/>
        <w:widowControl w:val="0"/>
        <w:kinsoku/>
        <w:wordWrap/>
        <w:overflowPunct/>
        <w:topLinePunct w:val="0"/>
        <w:autoSpaceDE/>
        <w:autoSpaceDN/>
        <w:bidi w:val="0"/>
        <w:spacing w:line="520" w:lineRule="exact"/>
        <w:ind w:firstLine="562"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highlight w:val="none"/>
          <w:lang w:val="en-US" w:eastAsia="zh-CN"/>
        </w:rPr>
        <w:t>2.费用支付：</w:t>
      </w:r>
      <w:r>
        <w:rPr>
          <w:rFonts w:hint="eastAsia" w:ascii="仿宋" w:hAnsi="仿宋" w:eastAsia="仿宋" w:cs="仿宋"/>
          <w:b w:val="0"/>
          <w:bCs w:val="0"/>
          <w:sz w:val="28"/>
          <w:szCs w:val="28"/>
          <w:highlight w:val="none"/>
          <w:lang w:val="en-US" w:eastAsia="zh-CN"/>
        </w:rPr>
        <w:t>合</w:t>
      </w:r>
      <w:r>
        <w:rPr>
          <w:rFonts w:hint="eastAsia" w:ascii="仿宋" w:hAnsi="仿宋" w:eastAsia="仿宋" w:cs="仿宋"/>
          <w:sz w:val="28"/>
          <w:szCs w:val="28"/>
          <w:highlight w:val="none"/>
          <w:lang w:val="en-US" w:eastAsia="zh-CN"/>
        </w:rPr>
        <w:t>同服务费用按季度平均计算，每季度</w:t>
      </w:r>
      <w:r>
        <w:rPr>
          <w:rFonts w:hint="eastAsia" w:ascii="仿宋" w:hAnsi="仿宋" w:eastAsia="仿宋" w:cs="仿宋"/>
          <w:sz w:val="28"/>
          <w:szCs w:val="28"/>
          <w:lang w:val="en-US" w:eastAsia="zh-CN"/>
        </w:rPr>
        <w:t>费用根据当季考核情况和处理结果进行结算，原则上，每季度费用于考核后次月进行支付；</w:t>
      </w:r>
      <w:r>
        <w:rPr>
          <w:rFonts w:hint="eastAsia" w:ascii="仿宋" w:hAnsi="仿宋" w:eastAsia="仿宋" w:cs="仿宋"/>
          <w:sz w:val="28"/>
          <w:szCs w:val="28"/>
          <w:highlight w:val="none"/>
          <w:lang w:val="en-US" w:eastAsia="zh-CN"/>
        </w:rPr>
        <w:t>第四季度费用于次年4月支付。（中标人须为浙江省政府采购云平台框架协议物业管理服务入围供应商，如因中标人原因无法在政采云下单采购的，一切后果由中标人承担。）</w:t>
      </w:r>
    </w:p>
    <w:p w14:paraId="1E5EEA5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五、费用预算</w:t>
      </w:r>
    </w:p>
    <w:p w14:paraId="1CCBB813">
      <w:pPr>
        <w:keepNext w:val="0"/>
        <w:keepLines w:val="0"/>
        <w:pageBreakBefore w:val="0"/>
        <w:widowControl w:val="0"/>
        <w:kinsoku/>
        <w:wordWrap/>
        <w:overflowPunct/>
        <w:topLinePunct w:val="0"/>
        <w:autoSpaceDE/>
        <w:autoSpaceDN/>
        <w:bidi w:val="0"/>
        <w:spacing w:line="520" w:lineRule="exact"/>
        <w:ind w:firstLine="560" w:firstLineChars="200"/>
        <w:jc w:val="both"/>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总预算约20.5万元（包括管理和服务人员薪资待遇、企业管理费、临时性宣传标识与告示牌制作费、日常保洁工具及易耗物品、税费等）。</w:t>
      </w:r>
    </w:p>
    <w:p w14:paraId="30E2267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六、其他说明</w:t>
      </w:r>
    </w:p>
    <w:p w14:paraId="0D43DEBD">
      <w:pPr>
        <w:keepNext w:val="0"/>
        <w:keepLines w:val="0"/>
        <w:pageBreakBefore w:val="0"/>
        <w:widowControl w:val="0"/>
        <w:kinsoku/>
        <w:wordWrap/>
        <w:overflowPunct/>
        <w:topLinePunct w:val="0"/>
        <w:autoSpaceDE/>
        <w:autoSpaceDN/>
        <w:bidi w:val="0"/>
        <w:spacing w:line="520" w:lineRule="exact"/>
        <w:ind w:firstLine="560" w:firstLineChars="200"/>
        <w:jc w:val="both"/>
        <w:textAlignment w:val="auto"/>
        <w:rPr>
          <w:rFonts w:hint="eastAsia" w:ascii="仿宋" w:hAnsi="仿宋" w:eastAsia="仿宋" w:cs="仿宋"/>
          <w:snapToGrid w:val="0"/>
          <w:color w:val="000000" w:themeColor="text1"/>
          <w:kern w:val="0"/>
          <w:sz w:val="28"/>
          <w:szCs w:val="28"/>
          <w14:textFill>
            <w14:solidFill>
              <w14:schemeClr w14:val="tx1"/>
            </w14:solidFill>
          </w14:textFill>
        </w:rPr>
      </w:pPr>
      <w:r>
        <w:rPr>
          <w:rFonts w:hint="eastAsia" w:ascii="仿宋" w:hAnsi="仿宋" w:eastAsia="仿宋" w:cs="仿宋"/>
          <w:snapToGrid w:val="0"/>
          <w:color w:val="000000" w:themeColor="text1"/>
          <w:kern w:val="0"/>
          <w:sz w:val="28"/>
          <w:szCs w:val="28"/>
          <w:lang w:val="en-US" w:eastAsia="zh-CN"/>
          <w14:textFill>
            <w14:solidFill>
              <w14:schemeClr w14:val="tx1"/>
            </w14:solidFill>
          </w14:textFill>
        </w:rPr>
        <w:t>1.</w:t>
      </w:r>
      <w:r>
        <w:rPr>
          <w:rFonts w:hint="eastAsia" w:ascii="仿宋" w:hAnsi="仿宋" w:eastAsia="仿宋" w:cs="仿宋"/>
          <w:snapToGrid w:val="0"/>
          <w:color w:val="000000" w:themeColor="text1"/>
          <w:kern w:val="0"/>
          <w:sz w:val="28"/>
          <w:szCs w:val="28"/>
          <w14:textFill>
            <w14:solidFill>
              <w14:schemeClr w14:val="tx1"/>
            </w14:solidFill>
          </w14:textFill>
        </w:rPr>
        <w:t>中标单位不得将本项目转包，一经发现，立即终止本项目合同，由此造成的经济损失由</w:t>
      </w:r>
      <w:r>
        <w:rPr>
          <w:rFonts w:hint="eastAsia" w:ascii="仿宋" w:hAnsi="仿宋" w:eastAsia="仿宋" w:cs="仿宋"/>
          <w:snapToGrid w:val="0"/>
          <w:color w:val="000000" w:themeColor="text1"/>
          <w:kern w:val="0"/>
          <w:sz w:val="28"/>
          <w:szCs w:val="28"/>
          <w:lang w:eastAsia="zh-CN"/>
          <w14:textFill>
            <w14:solidFill>
              <w14:schemeClr w14:val="tx1"/>
            </w14:solidFill>
          </w14:textFill>
        </w:rPr>
        <w:t>中标单位</w:t>
      </w:r>
      <w:r>
        <w:rPr>
          <w:rFonts w:hint="eastAsia" w:ascii="仿宋" w:hAnsi="仿宋" w:eastAsia="仿宋" w:cs="仿宋"/>
          <w:snapToGrid w:val="0"/>
          <w:color w:val="000000" w:themeColor="text1"/>
          <w:kern w:val="0"/>
          <w:sz w:val="28"/>
          <w:szCs w:val="28"/>
          <w14:textFill>
            <w14:solidFill>
              <w14:schemeClr w14:val="tx1"/>
            </w14:solidFill>
          </w14:textFill>
        </w:rPr>
        <w:t>承担。</w:t>
      </w:r>
    </w:p>
    <w:p w14:paraId="075638B8">
      <w:pPr>
        <w:keepNext w:val="0"/>
        <w:keepLines w:val="0"/>
        <w:pageBreakBefore w:val="0"/>
        <w:widowControl w:val="0"/>
        <w:kinsoku/>
        <w:wordWrap/>
        <w:overflowPunct/>
        <w:topLinePunct w:val="0"/>
        <w:autoSpaceDE/>
        <w:autoSpaceDN/>
        <w:bidi w:val="0"/>
        <w:spacing w:line="520" w:lineRule="exact"/>
        <w:ind w:firstLine="560" w:firstLineChars="200"/>
        <w:jc w:val="both"/>
        <w:textAlignment w:val="auto"/>
        <w:rPr>
          <w:rFonts w:hint="eastAsia" w:ascii="仿宋" w:hAnsi="仿宋" w:eastAsia="仿宋" w:cs="仿宋"/>
          <w:snapToGrid w:val="0"/>
          <w:color w:val="000000" w:themeColor="text1"/>
          <w:kern w:val="0"/>
          <w:sz w:val="28"/>
          <w:szCs w:val="28"/>
          <w14:textFill>
            <w14:solidFill>
              <w14:schemeClr w14:val="tx1"/>
            </w14:solidFill>
          </w14:textFill>
        </w:rPr>
      </w:pPr>
      <w:r>
        <w:rPr>
          <w:rFonts w:hint="eastAsia" w:ascii="仿宋" w:hAnsi="仿宋" w:eastAsia="仿宋" w:cs="仿宋"/>
          <w:snapToGrid w:val="0"/>
          <w:color w:val="000000" w:themeColor="text1"/>
          <w:kern w:val="0"/>
          <w:sz w:val="28"/>
          <w:szCs w:val="28"/>
          <w:lang w:val="en-US" w:eastAsia="zh-CN"/>
          <w14:textFill>
            <w14:solidFill>
              <w14:schemeClr w14:val="tx1"/>
            </w14:solidFill>
          </w14:textFill>
        </w:rPr>
        <w:t>2.</w:t>
      </w:r>
      <w:r>
        <w:rPr>
          <w:rFonts w:hint="eastAsia" w:ascii="仿宋" w:hAnsi="仿宋" w:eastAsia="仿宋" w:cs="仿宋"/>
          <w:snapToGrid w:val="0"/>
          <w:color w:val="000000" w:themeColor="text1"/>
          <w:kern w:val="0"/>
          <w:sz w:val="28"/>
          <w:szCs w:val="28"/>
          <w14:textFill>
            <w14:solidFill>
              <w14:schemeClr w14:val="tx1"/>
            </w14:solidFill>
          </w14:textFill>
        </w:rPr>
        <w:t>中标单位与</w:t>
      </w:r>
      <w:r>
        <w:rPr>
          <w:rFonts w:hint="eastAsia" w:ascii="仿宋" w:hAnsi="仿宋" w:eastAsia="仿宋" w:cs="仿宋"/>
          <w:snapToGrid w:val="0"/>
          <w:color w:val="000000" w:themeColor="text1"/>
          <w:kern w:val="0"/>
          <w:sz w:val="28"/>
          <w:szCs w:val="28"/>
          <w:lang w:eastAsia="zh-CN"/>
          <w14:textFill>
            <w14:solidFill>
              <w14:schemeClr w14:val="tx1"/>
            </w14:solidFill>
          </w14:textFill>
        </w:rPr>
        <w:t>招标单位</w:t>
      </w:r>
      <w:r>
        <w:rPr>
          <w:rFonts w:hint="eastAsia" w:ascii="仿宋" w:hAnsi="仿宋" w:eastAsia="仿宋" w:cs="仿宋"/>
          <w:snapToGrid w:val="0"/>
          <w:color w:val="000000" w:themeColor="text1"/>
          <w:kern w:val="0"/>
          <w:sz w:val="28"/>
          <w:szCs w:val="28"/>
          <w14:textFill>
            <w14:solidFill>
              <w14:schemeClr w14:val="tx1"/>
            </w14:solidFill>
          </w14:textFill>
        </w:rPr>
        <w:t>签订物业管理</w:t>
      </w:r>
      <w:r>
        <w:rPr>
          <w:rFonts w:hint="eastAsia" w:ascii="仿宋" w:hAnsi="仿宋" w:eastAsia="仿宋" w:cs="仿宋"/>
          <w:snapToGrid w:val="0"/>
          <w:color w:val="000000" w:themeColor="text1"/>
          <w:kern w:val="0"/>
          <w:sz w:val="28"/>
          <w:szCs w:val="28"/>
          <w:lang w:val="en-US" w:eastAsia="zh-CN"/>
          <w14:textFill>
            <w14:solidFill>
              <w14:schemeClr w14:val="tx1"/>
            </w14:solidFill>
          </w14:textFill>
        </w:rPr>
        <w:t>服务</w:t>
      </w:r>
      <w:r>
        <w:rPr>
          <w:rFonts w:hint="eastAsia" w:ascii="仿宋" w:hAnsi="仿宋" w:eastAsia="仿宋" w:cs="仿宋"/>
          <w:snapToGrid w:val="0"/>
          <w:color w:val="000000" w:themeColor="text1"/>
          <w:kern w:val="0"/>
          <w:sz w:val="28"/>
          <w:szCs w:val="28"/>
          <w14:textFill>
            <w14:solidFill>
              <w14:schemeClr w14:val="tx1"/>
            </w14:solidFill>
          </w14:textFill>
        </w:rPr>
        <w:t>合同时，需向</w:t>
      </w:r>
      <w:r>
        <w:rPr>
          <w:rFonts w:hint="eastAsia" w:ascii="仿宋" w:hAnsi="仿宋" w:eastAsia="仿宋" w:cs="仿宋"/>
          <w:snapToGrid w:val="0"/>
          <w:color w:val="000000" w:themeColor="text1"/>
          <w:kern w:val="0"/>
          <w:sz w:val="28"/>
          <w:szCs w:val="28"/>
          <w:lang w:eastAsia="zh-CN"/>
          <w14:textFill>
            <w14:solidFill>
              <w14:schemeClr w14:val="tx1"/>
            </w14:solidFill>
          </w14:textFill>
        </w:rPr>
        <w:t>招标单位</w:t>
      </w:r>
      <w:r>
        <w:rPr>
          <w:rFonts w:hint="eastAsia" w:ascii="仿宋" w:hAnsi="仿宋" w:eastAsia="仿宋" w:cs="仿宋"/>
          <w:snapToGrid w:val="0"/>
          <w:color w:val="000000" w:themeColor="text1"/>
          <w:kern w:val="0"/>
          <w:sz w:val="28"/>
          <w:szCs w:val="28"/>
          <w14:textFill>
            <w14:solidFill>
              <w14:schemeClr w14:val="tx1"/>
            </w14:solidFill>
          </w14:textFill>
        </w:rPr>
        <w:t>提交合同金额5%的履约保证金，合同履行完毕</w:t>
      </w:r>
      <w:r>
        <w:rPr>
          <w:rFonts w:hint="eastAsia" w:ascii="仿宋" w:hAnsi="仿宋" w:eastAsia="仿宋" w:cs="仿宋"/>
          <w:snapToGrid w:val="0"/>
          <w:color w:val="000000" w:themeColor="text1"/>
          <w:kern w:val="0"/>
          <w:sz w:val="28"/>
          <w:szCs w:val="28"/>
          <w:lang w:val="en-US" w:eastAsia="zh-CN"/>
          <w14:textFill>
            <w14:solidFill>
              <w14:schemeClr w14:val="tx1"/>
            </w14:solidFill>
          </w14:textFill>
        </w:rPr>
        <w:t>及工作移交全部完成后予以</w:t>
      </w:r>
      <w:r>
        <w:rPr>
          <w:rFonts w:hint="eastAsia" w:ascii="仿宋" w:hAnsi="仿宋" w:eastAsia="仿宋" w:cs="仿宋"/>
          <w:snapToGrid w:val="0"/>
          <w:color w:val="000000" w:themeColor="text1"/>
          <w:kern w:val="0"/>
          <w:sz w:val="28"/>
          <w:szCs w:val="28"/>
          <w14:textFill>
            <w14:solidFill>
              <w14:schemeClr w14:val="tx1"/>
            </w14:solidFill>
          </w14:textFill>
        </w:rPr>
        <w:t>退还,不计利息。</w:t>
      </w:r>
    </w:p>
    <w:p w14:paraId="02978238">
      <w:pPr>
        <w:keepNext w:val="0"/>
        <w:keepLines w:val="0"/>
        <w:pageBreakBefore w:val="0"/>
        <w:widowControl w:val="0"/>
        <w:kinsoku/>
        <w:wordWrap/>
        <w:overflowPunct/>
        <w:topLinePunct w:val="0"/>
        <w:autoSpaceDE/>
        <w:autoSpaceDN/>
        <w:bidi w:val="0"/>
        <w:spacing w:line="520" w:lineRule="exact"/>
        <w:ind w:firstLine="560" w:firstLineChars="200"/>
        <w:jc w:val="both"/>
        <w:textAlignment w:val="auto"/>
        <w:rPr>
          <w:rFonts w:hint="eastAsia" w:ascii="仿宋" w:hAnsi="仿宋" w:eastAsia="仿宋" w:cs="仿宋"/>
          <w:color w:val="FF0000"/>
          <w:sz w:val="28"/>
          <w:szCs w:val="28"/>
          <w:highlight w:val="none"/>
          <w:lang w:val="en-US" w:eastAsia="zh-CN"/>
        </w:rPr>
      </w:pPr>
      <w:r>
        <w:rPr>
          <w:rFonts w:hint="eastAsia" w:ascii="仿宋" w:hAnsi="仿宋" w:eastAsia="仿宋" w:cs="仿宋"/>
          <w:bCs/>
          <w:color w:val="000000" w:themeColor="text1"/>
          <w:sz w:val="28"/>
          <w:szCs w:val="28"/>
          <w:lang w:val="en-US" w:eastAsia="zh-CN"/>
          <w14:textFill>
            <w14:solidFill>
              <w14:schemeClr w14:val="tx1"/>
            </w14:solidFill>
          </w14:textFill>
        </w:rPr>
        <w:t>3.</w:t>
      </w:r>
      <w:r>
        <w:rPr>
          <w:rFonts w:hint="eastAsia" w:ascii="仿宋" w:hAnsi="仿宋" w:eastAsia="仿宋" w:cs="仿宋"/>
          <w:snapToGrid w:val="0"/>
          <w:color w:val="000000" w:themeColor="text1"/>
          <w:kern w:val="0"/>
          <w:sz w:val="28"/>
          <w:szCs w:val="28"/>
          <w14:textFill>
            <w14:solidFill>
              <w14:schemeClr w14:val="tx1"/>
            </w14:solidFill>
          </w14:textFill>
        </w:rPr>
        <w:t>中标单位</w:t>
      </w:r>
      <w:r>
        <w:rPr>
          <w:rFonts w:hint="eastAsia" w:ascii="仿宋" w:hAnsi="仿宋" w:eastAsia="仿宋" w:cs="仿宋"/>
          <w:color w:val="000000" w:themeColor="text1"/>
          <w:sz w:val="28"/>
          <w:szCs w:val="28"/>
          <w14:textFill>
            <w14:solidFill>
              <w14:schemeClr w14:val="tx1"/>
            </w14:solidFill>
          </w14:textFill>
        </w:rPr>
        <w:t>在管理服务中</w:t>
      </w:r>
      <w:r>
        <w:rPr>
          <w:rFonts w:hint="eastAsia" w:ascii="仿宋" w:hAnsi="仿宋" w:eastAsia="仿宋" w:cs="仿宋"/>
          <w:color w:val="000000" w:themeColor="text1"/>
          <w:sz w:val="28"/>
          <w:szCs w:val="28"/>
          <w:lang w:val="en-US" w:eastAsia="zh-CN"/>
          <w14:textFill>
            <w14:solidFill>
              <w14:schemeClr w14:val="tx1"/>
            </w14:solidFill>
          </w14:textFill>
        </w:rPr>
        <w:t>因自身问题</w:t>
      </w:r>
      <w:r>
        <w:rPr>
          <w:rFonts w:hint="eastAsia" w:ascii="仿宋" w:hAnsi="仿宋" w:eastAsia="仿宋" w:cs="仿宋"/>
          <w:color w:val="000000" w:themeColor="text1"/>
          <w:sz w:val="28"/>
          <w:szCs w:val="28"/>
          <w14:textFill>
            <w14:solidFill>
              <w14:schemeClr w14:val="tx1"/>
            </w14:solidFill>
          </w14:textFill>
        </w:rPr>
        <w:t>造成</w:t>
      </w:r>
      <w:r>
        <w:rPr>
          <w:rFonts w:hint="eastAsia" w:ascii="仿宋" w:hAnsi="仿宋" w:eastAsia="仿宋" w:cs="仿宋"/>
          <w:color w:val="000000" w:themeColor="text1"/>
          <w:sz w:val="28"/>
          <w:szCs w:val="28"/>
          <w:lang w:val="en-US" w:eastAsia="zh-CN"/>
          <w14:textFill>
            <w14:solidFill>
              <w14:schemeClr w14:val="tx1"/>
            </w14:solidFill>
          </w14:textFill>
        </w:rPr>
        <w:t>他人</w:t>
      </w:r>
      <w:r>
        <w:rPr>
          <w:rFonts w:hint="eastAsia" w:ascii="仿宋" w:hAnsi="仿宋" w:eastAsia="仿宋" w:cs="仿宋"/>
          <w:color w:val="000000" w:themeColor="text1"/>
          <w:sz w:val="28"/>
          <w:szCs w:val="28"/>
          <w14:textFill>
            <w14:solidFill>
              <w14:schemeClr w14:val="tx1"/>
            </w14:solidFill>
          </w14:textFill>
        </w:rPr>
        <w:t>人身伤亡、财产损失的</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或</w:t>
      </w:r>
      <w:r>
        <w:rPr>
          <w:rFonts w:hint="eastAsia" w:ascii="仿宋" w:hAnsi="仿宋" w:eastAsia="仿宋" w:cs="仿宋"/>
          <w:snapToGrid w:val="0"/>
          <w:color w:val="000000" w:themeColor="text1"/>
          <w:kern w:val="0"/>
          <w:sz w:val="28"/>
          <w:szCs w:val="28"/>
          <w14:textFill>
            <w14:solidFill>
              <w14:schemeClr w14:val="tx1"/>
            </w14:solidFill>
          </w14:textFill>
        </w:rPr>
        <w:t>中标单位</w:t>
      </w:r>
      <w:r>
        <w:rPr>
          <w:rFonts w:hint="eastAsia" w:ascii="仿宋" w:hAnsi="仿宋" w:eastAsia="仿宋" w:cs="仿宋"/>
          <w:color w:val="000000" w:themeColor="text1"/>
          <w:sz w:val="28"/>
          <w:szCs w:val="28"/>
          <w14:textFill>
            <w14:solidFill>
              <w14:schemeClr w14:val="tx1"/>
            </w14:solidFill>
          </w14:textFill>
        </w:rPr>
        <w:t>员工在岗履行工作职责期间，发生人身伤亡、财产损失等</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由</w:t>
      </w:r>
      <w:r>
        <w:rPr>
          <w:rFonts w:hint="eastAsia" w:ascii="仿宋" w:hAnsi="仿宋" w:eastAsia="仿宋" w:cs="仿宋"/>
          <w:snapToGrid w:val="0"/>
          <w:color w:val="000000" w:themeColor="text1"/>
          <w:kern w:val="0"/>
          <w:sz w:val="28"/>
          <w:szCs w:val="28"/>
          <w14:textFill>
            <w14:solidFill>
              <w14:schemeClr w14:val="tx1"/>
            </w14:solidFill>
          </w14:textFill>
        </w:rPr>
        <w:t>中标单位</w:t>
      </w:r>
      <w:r>
        <w:rPr>
          <w:rFonts w:hint="eastAsia" w:ascii="仿宋" w:hAnsi="仿宋" w:eastAsia="仿宋" w:cs="仿宋"/>
          <w:snapToGrid w:val="0"/>
          <w:color w:val="000000" w:themeColor="text1"/>
          <w:kern w:val="0"/>
          <w:sz w:val="28"/>
          <w:szCs w:val="28"/>
          <w:lang w:val="en-US" w:eastAsia="zh-CN"/>
          <w14:textFill>
            <w14:solidFill>
              <w14:schemeClr w14:val="tx1"/>
            </w14:solidFill>
          </w14:textFill>
        </w:rPr>
        <w:t>承担全部经济和法律</w:t>
      </w:r>
      <w:r>
        <w:rPr>
          <w:rFonts w:hint="eastAsia" w:ascii="仿宋" w:hAnsi="仿宋" w:eastAsia="仿宋" w:cs="仿宋"/>
          <w:color w:val="000000" w:themeColor="text1"/>
          <w:sz w:val="28"/>
          <w:szCs w:val="28"/>
          <w14:textFill>
            <w14:solidFill>
              <w14:schemeClr w14:val="tx1"/>
            </w14:solidFill>
          </w14:textFill>
        </w:rPr>
        <w:t>责任，</w:t>
      </w:r>
      <w:r>
        <w:rPr>
          <w:rFonts w:hint="eastAsia" w:ascii="仿宋" w:hAnsi="仿宋" w:eastAsia="仿宋" w:cs="仿宋"/>
          <w:snapToGrid w:val="0"/>
          <w:color w:val="000000" w:themeColor="text1"/>
          <w:kern w:val="0"/>
          <w:sz w:val="28"/>
          <w:szCs w:val="28"/>
          <w:lang w:eastAsia="zh-CN"/>
          <w14:textFill>
            <w14:solidFill>
              <w14:schemeClr w14:val="tx1"/>
            </w14:solidFill>
          </w14:textFill>
        </w:rPr>
        <w:t>招标单位</w:t>
      </w:r>
      <w:r>
        <w:rPr>
          <w:rFonts w:hint="eastAsia" w:ascii="仿宋" w:hAnsi="仿宋" w:eastAsia="仿宋" w:cs="仿宋"/>
          <w:color w:val="000000" w:themeColor="text1"/>
          <w:sz w:val="28"/>
          <w:szCs w:val="28"/>
          <w14:textFill>
            <w14:solidFill>
              <w14:schemeClr w14:val="tx1"/>
            </w14:solidFill>
          </w14:textFill>
        </w:rPr>
        <w:t>不承担任何责任；</w:t>
      </w:r>
      <w:r>
        <w:rPr>
          <w:rFonts w:hint="eastAsia" w:ascii="仿宋" w:hAnsi="仿宋" w:eastAsia="仿宋" w:cs="仿宋"/>
          <w:snapToGrid w:val="0"/>
          <w:color w:val="000000" w:themeColor="text1"/>
          <w:kern w:val="0"/>
          <w:sz w:val="28"/>
          <w:szCs w:val="28"/>
          <w14:textFill>
            <w14:solidFill>
              <w14:schemeClr w14:val="tx1"/>
            </w14:solidFill>
          </w14:textFill>
        </w:rPr>
        <w:t>中标单位</w:t>
      </w:r>
      <w:r>
        <w:rPr>
          <w:rFonts w:hint="eastAsia" w:ascii="仿宋" w:hAnsi="仿宋" w:eastAsia="仿宋" w:cs="仿宋"/>
          <w:color w:val="000000" w:themeColor="text1"/>
          <w:sz w:val="28"/>
          <w:szCs w:val="28"/>
          <w14:textFill>
            <w14:solidFill>
              <w14:schemeClr w14:val="tx1"/>
            </w14:solidFill>
          </w14:textFill>
        </w:rPr>
        <w:t>与服务人员发生用工争议的，由</w:t>
      </w:r>
      <w:r>
        <w:rPr>
          <w:rFonts w:hint="eastAsia" w:ascii="仿宋" w:hAnsi="仿宋" w:eastAsia="仿宋" w:cs="仿宋"/>
          <w:snapToGrid w:val="0"/>
          <w:color w:val="000000" w:themeColor="text1"/>
          <w:kern w:val="0"/>
          <w:sz w:val="28"/>
          <w:szCs w:val="28"/>
          <w14:textFill>
            <w14:solidFill>
              <w14:schemeClr w14:val="tx1"/>
            </w14:solidFill>
          </w14:textFill>
        </w:rPr>
        <w:t>中标单位</w:t>
      </w:r>
      <w:r>
        <w:rPr>
          <w:rFonts w:hint="eastAsia" w:ascii="仿宋" w:hAnsi="仿宋" w:eastAsia="仿宋" w:cs="仿宋"/>
          <w:color w:val="000000" w:themeColor="text1"/>
          <w:sz w:val="28"/>
          <w:szCs w:val="28"/>
          <w14:textFill>
            <w14:solidFill>
              <w14:schemeClr w14:val="tx1"/>
            </w14:solidFill>
          </w14:textFill>
        </w:rPr>
        <w:t>负责处理并承担相应责任，</w:t>
      </w:r>
      <w:r>
        <w:rPr>
          <w:rFonts w:hint="eastAsia" w:ascii="仿宋" w:hAnsi="仿宋" w:eastAsia="仿宋" w:cs="仿宋"/>
          <w:snapToGrid w:val="0"/>
          <w:color w:val="000000" w:themeColor="text1"/>
          <w:kern w:val="0"/>
          <w:sz w:val="28"/>
          <w:szCs w:val="28"/>
          <w:highlight w:val="none"/>
          <w:lang w:eastAsia="zh-CN"/>
          <w14:textFill>
            <w14:solidFill>
              <w14:schemeClr w14:val="tx1"/>
            </w14:solidFill>
          </w14:textFill>
        </w:rPr>
        <w:t>招标单位</w:t>
      </w:r>
      <w:r>
        <w:rPr>
          <w:rFonts w:hint="eastAsia" w:ascii="仿宋" w:hAnsi="仿宋" w:eastAsia="仿宋" w:cs="仿宋"/>
          <w:color w:val="000000" w:themeColor="text1"/>
          <w:sz w:val="28"/>
          <w:szCs w:val="28"/>
          <w:highlight w:val="none"/>
          <w14:textFill>
            <w14:solidFill>
              <w14:schemeClr w14:val="tx1"/>
            </w14:solidFill>
          </w14:textFill>
        </w:rPr>
        <w:t>不承担任何责任。</w:t>
      </w:r>
    </w:p>
    <w:p w14:paraId="44B1C2A8">
      <w:pPr>
        <w:keepNext w:val="0"/>
        <w:keepLines w:val="0"/>
        <w:pageBreakBefore w:val="0"/>
        <w:widowControl w:val="0"/>
        <w:kinsoku/>
        <w:wordWrap/>
        <w:overflowPunct/>
        <w:topLinePunct w:val="0"/>
        <w:autoSpaceDE/>
        <w:autoSpaceDN/>
        <w:bidi w:val="0"/>
        <w:spacing w:line="520" w:lineRule="exact"/>
        <w:ind w:firstLine="560"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4.特别约定：因学校及上级管理部门发展规划或其他不可抗力，导致该大楼整体修缮或使用功能调整等政策性变化，需提前解除合同的，</w:t>
      </w:r>
      <w:r>
        <w:rPr>
          <w:rFonts w:hint="eastAsia" w:ascii="仿宋" w:hAnsi="仿宋" w:eastAsia="仿宋" w:cs="仿宋"/>
          <w:snapToGrid w:val="0"/>
          <w:color w:val="000000" w:themeColor="text1"/>
          <w:kern w:val="0"/>
          <w:sz w:val="28"/>
          <w:szCs w:val="28"/>
          <w14:textFill>
            <w14:solidFill>
              <w14:schemeClr w14:val="tx1"/>
            </w14:solidFill>
          </w14:textFill>
        </w:rPr>
        <w:t>中标单位</w:t>
      </w:r>
      <w:r>
        <w:rPr>
          <w:rFonts w:hint="eastAsia" w:ascii="仿宋" w:hAnsi="仿宋" w:eastAsia="仿宋" w:cs="仿宋"/>
          <w:sz w:val="28"/>
          <w:szCs w:val="28"/>
          <w:highlight w:val="none"/>
          <w:lang w:val="en-US" w:eastAsia="zh-CN"/>
        </w:rPr>
        <w:t>方须无条件服从，学校不作任何赔偿或补偿。</w:t>
      </w:r>
    </w:p>
    <w:p w14:paraId="6623C9BB">
      <w:pPr>
        <w:pStyle w:val="4"/>
        <w:keepNext w:val="0"/>
        <w:keepLines w:val="0"/>
        <w:pageBreakBefore w:val="0"/>
        <w:widowControl w:val="0"/>
        <w:kinsoku/>
        <w:wordWrap/>
        <w:overflowPunct/>
        <w:topLinePunct w:val="0"/>
        <w:autoSpaceDE/>
        <w:autoSpaceDN/>
        <w:bidi w:val="0"/>
        <w:spacing w:after="0" w:line="520" w:lineRule="exact"/>
        <w:jc w:val="both"/>
        <w:textAlignment w:val="auto"/>
        <w:rPr>
          <w:rFonts w:hint="eastAsia" w:ascii="仿宋" w:hAnsi="仿宋" w:eastAsia="仿宋" w:cs="仿宋"/>
          <w:bCs/>
          <w:color w:val="000000" w:themeColor="text1"/>
          <w:sz w:val="28"/>
          <w:szCs w:val="28"/>
          <w14:textFill>
            <w14:solidFill>
              <w14:schemeClr w14:val="tx1"/>
            </w14:solidFill>
          </w14:textFill>
        </w:rPr>
      </w:pPr>
    </w:p>
    <w:p w14:paraId="42968A99">
      <w:pPr>
        <w:pStyle w:val="4"/>
        <w:keepNext w:val="0"/>
        <w:keepLines w:val="0"/>
        <w:pageBreakBefore w:val="0"/>
        <w:widowControl w:val="0"/>
        <w:kinsoku/>
        <w:wordWrap/>
        <w:overflowPunct/>
        <w:topLinePunct w:val="0"/>
        <w:autoSpaceDE/>
        <w:autoSpaceDN/>
        <w:bidi w:val="0"/>
        <w:spacing w:after="0" w:line="520" w:lineRule="exact"/>
        <w:jc w:val="both"/>
        <w:textAlignment w:val="auto"/>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附件</w:t>
      </w:r>
      <w:r>
        <w:rPr>
          <w:rFonts w:hint="eastAsia" w:ascii="仿宋" w:hAnsi="仿宋" w:eastAsia="仿宋" w:cs="仿宋"/>
          <w:bCs/>
          <w:color w:val="000000" w:themeColor="text1"/>
          <w:sz w:val="28"/>
          <w:szCs w:val="28"/>
          <w:lang w:eastAsia="zh-CN"/>
          <w14:textFill>
            <w14:solidFill>
              <w14:schemeClr w14:val="tx1"/>
            </w14:solidFill>
          </w14:textFill>
        </w:rPr>
        <w:t>：</w:t>
      </w:r>
    </w:p>
    <w:p w14:paraId="338FE678">
      <w:pPr>
        <w:pStyle w:val="4"/>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both"/>
        <w:textAlignment w:val="auto"/>
        <w:rPr>
          <w:rFonts w:hint="default"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1</w:t>
      </w:r>
      <w:r>
        <w:rPr>
          <w:rFonts w:hint="eastAsia" w:ascii="仿宋" w:hAnsi="仿宋" w:eastAsia="仿宋" w:cs="仿宋"/>
          <w:bCs/>
          <w:color w:val="000000" w:themeColor="text1"/>
          <w:sz w:val="28"/>
          <w:szCs w:val="28"/>
          <w:lang w:val="en-US" w:eastAsia="zh-CN"/>
          <w14:textFill>
            <w14:solidFill>
              <w14:schemeClr w14:val="tx1"/>
            </w14:solidFill>
          </w14:textFill>
        </w:rPr>
        <w:t>.</w:t>
      </w:r>
      <w:r>
        <w:rPr>
          <w:rFonts w:hint="eastAsia" w:ascii="仿宋" w:hAnsi="仿宋" w:eastAsia="仿宋" w:cs="仿宋"/>
          <w:bCs/>
          <w:color w:val="000000" w:themeColor="text1"/>
          <w:sz w:val="28"/>
          <w:szCs w:val="28"/>
          <w14:textFill>
            <w14:solidFill>
              <w14:schemeClr w14:val="tx1"/>
            </w14:solidFill>
          </w14:textFill>
        </w:rPr>
        <w:t>湖州师范学院熙培专家楼物业服务</w:t>
      </w:r>
      <w:r>
        <w:rPr>
          <w:rFonts w:hint="eastAsia" w:ascii="仿宋" w:hAnsi="仿宋" w:eastAsia="仿宋" w:cs="仿宋"/>
          <w:bCs/>
          <w:color w:val="000000" w:themeColor="text1"/>
          <w:sz w:val="28"/>
          <w:szCs w:val="28"/>
          <w:lang w:val="en-US" w:eastAsia="zh-CN"/>
          <w14:textFill>
            <w14:solidFill>
              <w14:schemeClr w14:val="tx1"/>
            </w14:solidFill>
          </w14:textFill>
        </w:rPr>
        <w:t>工作要求</w:t>
      </w:r>
    </w:p>
    <w:p w14:paraId="66351C1A">
      <w:pPr>
        <w:pStyle w:val="4"/>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2.</w:t>
      </w:r>
      <w:r>
        <w:rPr>
          <w:rFonts w:hint="eastAsia" w:ascii="仿宋" w:hAnsi="仿宋" w:eastAsia="仿宋" w:cs="仿宋"/>
          <w:bCs/>
          <w:color w:val="000000" w:themeColor="text1"/>
          <w:sz w:val="28"/>
          <w:szCs w:val="28"/>
          <w14:textFill>
            <w14:solidFill>
              <w14:schemeClr w14:val="tx1"/>
            </w14:solidFill>
          </w14:textFill>
        </w:rPr>
        <w:t>湖州师范学院专家楼物业管理服务工作考核表</w:t>
      </w:r>
    </w:p>
    <w:p w14:paraId="11FE8347">
      <w:pPr>
        <w:pStyle w:val="4"/>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b w:val="0"/>
          <w:bCs/>
          <w:sz w:val="28"/>
          <w:szCs w:val="28"/>
          <w:lang w:val="en-US" w:eastAsia="zh-CN"/>
        </w:rPr>
      </w:pPr>
      <w:r>
        <w:rPr>
          <w:rFonts w:hint="eastAsia" w:ascii="仿宋" w:hAnsi="仿宋" w:eastAsia="仿宋" w:cs="仿宋"/>
          <w:bCs/>
          <w:color w:val="000000" w:themeColor="text1"/>
          <w:sz w:val="28"/>
          <w:szCs w:val="28"/>
          <w:lang w:val="en-US" w:eastAsia="zh-CN"/>
          <w14:textFill>
            <w14:solidFill>
              <w14:schemeClr w14:val="tx1"/>
            </w14:solidFill>
          </w14:textFill>
        </w:rPr>
        <w:t>3.</w:t>
      </w:r>
      <w:r>
        <w:rPr>
          <w:rFonts w:hint="eastAsia" w:ascii="仿宋" w:hAnsi="仿宋" w:eastAsia="仿宋" w:cs="仿宋"/>
          <w:bCs/>
          <w:color w:val="000000" w:themeColor="text1"/>
          <w:sz w:val="28"/>
          <w:szCs w:val="28"/>
          <w14:textFill>
            <w14:solidFill>
              <w14:schemeClr w14:val="tx1"/>
            </w14:solidFill>
          </w14:textFill>
        </w:rPr>
        <w:t>违约处理办法</w:t>
      </w:r>
    </w:p>
    <w:p w14:paraId="52B4CF59">
      <w:pPr>
        <w:keepNext w:val="0"/>
        <w:keepLines w:val="0"/>
        <w:pageBreakBefore w:val="0"/>
        <w:widowControl w:val="0"/>
        <w:kinsoku/>
        <w:wordWrap/>
        <w:overflowPunct/>
        <w:topLinePunct w:val="0"/>
        <w:autoSpaceDE/>
        <w:autoSpaceDN/>
        <w:bidi w:val="0"/>
        <w:spacing w:line="520" w:lineRule="exact"/>
        <w:textAlignment w:val="auto"/>
        <w:rPr>
          <w:rFonts w:hint="eastAsia"/>
          <w:sz w:val="28"/>
          <w:szCs w:val="28"/>
          <w:lang w:val="en-US" w:eastAsia="zh-CN"/>
        </w:rPr>
      </w:pPr>
    </w:p>
    <w:p w14:paraId="475CF88F">
      <w:pPr>
        <w:pStyle w:val="4"/>
        <w:keepNext w:val="0"/>
        <w:keepLines w:val="0"/>
        <w:pageBreakBefore w:val="0"/>
        <w:widowControl w:val="0"/>
        <w:kinsoku/>
        <w:wordWrap/>
        <w:overflowPunct/>
        <w:topLinePunct w:val="0"/>
        <w:autoSpaceDE/>
        <w:autoSpaceDN/>
        <w:bidi w:val="0"/>
        <w:spacing w:after="0" w:line="520" w:lineRule="exact"/>
        <w:jc w:val="center"/>
        <w:textAlignment w:val="auto"/>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 xml:space="preserve">                                          后勤服务中心</w:t>
      </w:r>
    </w:p>
    <w:p w14:paraId="249887D4">
      <w:pPr>
        <w:pStyle w:val="4"/>
        <w:keepNext w:val="0"/>
        <w:keepLines w:val="0"/>
        <w:pageBreakBefore w:val="0"/>
        <w:widowControl w:val="0"/>
        <w:kinsoku/>
        <w:wordWrap/>
        <w:overflowPunct/>
        <w:topLinePunct w:val="0"/>
        <w:autoSpaceDE/>
        <w:autoSpaceDN/>
        <w:bidi w:val="0"/>
        <w:spacing w:after="0" w:line="520" w:lineRule="exact"/>
        <w:jc w:val="right"/>
        <w:textAlignment w:val="auto"/>
        <w:rPr>
          <w:rFonts w:hint="eastAsia" w:ascii="仿宋" w:hAnsi="仿宋" w:eastAsia="仿宋" w:cs="仿宋"/>
          <w:b/>
          <w:sz w:val="28"/>
          <w:szCs w:val="28"/>
          <w:lang w:val="en-US" w:eastAsia="zh-CN"/>
        </w:rPr>
      </w:pPr>
      <w:r>
        <w:rPr>
          <w:rFonts w:hint="eastAsia" w:ascii="仿宋" w:hAnsi="仿宋" w:eastAsia="仿宋" w:cs="仿宋"/>
          <w:b w:val="0"/>
          <w:bCs/>
          <w:sz w:val="28"/>
          <w:szCs w:val="28"/>
          <w:lang w:val="en-US" w:eastAsia="zh-CN"/>
        </w:rPr>
        <w:t>2025年11月10日</w:t>
      </w:r>
    </w:p>
    <w:p w14:paraId="1F8D0EED">
      <w:pPr>
        <w:keepNext w:val="0"/>
        <w:keepLines w:val="0"/>
        <w:pageBreakBefore w:val="0"/>
        <w:widowControl w:val="0"/>
        <w:kinsoku/>
        <w:wordWrap/>
        <w:overflowPunct/>
        <w:topLinePunct w:val="0"/>
        <w:bidi w:val="0"/>
        <w:spacing w:line="440" w:lineRule="exact"/>
        <w:jc w:val="both"/>
        <w:textAlignment w:val="auto"/>
        <w:rPr>
          <w:rFonts w:hint="eastAsia" w:ascii="仿宋" w:hAnsi="仿宋" w:eastAsia="仿宋" w:cs="仿宋"/>
          <w:sz w:val="28"/>
          <w:szCs w:val="28"/>
          <w:lang w:val="en-US" w:eastAsia="zh-CN"/>
        </w:rPr>
      </w:pPr>
    </w:p>
    <w:p w14:paraId="3C82881C">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val="en-US" w:eastAsia="zh-CN"/>
        </w:rPr>
      </w:pPr>
    </w:p>
    <w:p w14:paraId="3CB73343">
      <w:pPr>
        <w:keepNext w:val="0"/>
        <w:keepLines w:val="0"/>
        <w:pageBreakBefore w:val="0"/>
        <w:widowControl w:val="0"/>
        <w:kinsoku/>
        <w:wordWrap/>
        <w:overflowPunct/>
        <w:topLinePunct w:val="0"/>
        <w:bidi w:val="0"/>
        <w:spacing w:line="440" w:lineRule="exact"/>
        <w:jc w:val="both"/>
        <w:textAlignment w:val="auto"/>
        <w:rPr>
          <w:rFonts w:hint="eastAsia" w:ascii="仿宋" w:hAnsi="仿宋" w:eastAsia="仿宋" w:cs="仿宋"/>
          <w:b/>
          <w:bCs/>
          <w:sz w:val="28"/>
          <w:szCs w:val="28"/>
        </w:rPr>
      </w:pPr>
    </w:p>
    <w:p w14:paraId="417C05EE">
      <w:pPr>
        <w:keepNext w:val="0"/>
        <w:keepLines w:val="0"/>
        <w:pageBreakBefore w:val="0"/>
        <w:widowControl w:val="0"/>
        <w:kinsoku/>
        <w:wordWrap/>
        <w:overflowPunct/>
        <w:topLinePunct w:val="0"/>
        <w:bidi w:val="0"/>
        <w:spacing w:line="440" w:lineRule="exact"/>
        <w:jc w:val="both"/>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rPr>
        <w:t>附件1:</w:t>
      </w:r>
    </w:p>
    <w:p w14:paraId="6CF1C5E4">
      <w:pPr>
        <w:keepNext w:val="0"/>
        <w:keepLines w:val="0"/>
        <w:pageBreakBefore w:val="0"/>
        <w:widowControl w:val="0"/>
        <w:kinsoku/>
        <w:wordWrap/>
        <w:overflowPunct/>
        <w:topLinePunct w:val="0"/>
        <w:bidi w:val="0"/>
        <w:spacing w:line="440" w:lineRule="exact"/>
        <w:jc w:val="center"/>
        <w:textAlignment w:val="auto"/>
        <w:rPr>
          <w:rFonts w:hint="default"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rPr>
        <w:t>湖州师范学院熙培专家楼物业服务</w:t>
      </w:r>
      <w:r>
        <w:rPr>
          <w:rFonts w:hint="eastAsia" w:ascii="黑体" w:hAnsi="黑体" w:eastAsia="黑体" w:cs="黑体"/>
          <w:b w:val="0"/>
          <w:bCs w:val="0"/>
          <w:sz w:val="32"/>
          <w:szCs w:val="32"/>
          <w:highlight w:val="none"/>
          <w:lang w:val="en-US" w:eastAsia="zh-CN"/>
        </w:rPr>
        <w:t>工作要求</w:t>
      </w:r>
    </w:p>
    <w:p w14:paraId="275D3CC0">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黑体" w:hAnsi="黑体" w:eastAsia="黑体" w:cs="黑体"/>
          <w:b w:val="0"/>
          <w:bCs w:val="0"/>
          <w:sz w:val="28"/>
          <w:szCs w:val="28"/>
          <w:highlight w:val="none"/>
          <w:lang w:val="en-US" w:eastAsia="zh-CN"/>
        </w:rPr>
      </w:pPr>
      <w:r>
        <w:rPr>
          <w:rFonts w:hint="eastAsia" w:ascii="黑体" w:hAnsi="黑体" w:eastAsia="黑体" w:cs="黑体"/>
          <w:b w:val="0"/>
          <w:bCs w:val="0"/>
          <w:sz w:val="28"/>
          <w:szCs w:val="28"/>
          <w:highlight w:val="none"/>
          <w:lang w:val="en-US" w:eastAsia="zh-CN"/>
        </w:rPr>
        <w:t>一</w:t>
      </w:r>
      <w:r>
        <w:rPr>
          <w:rFonts w:hint="eastAsia" w:ascii="黑体" w:hAnsi="黑体" w:eastAsia="黑体" w:cs="黑体"/>
          <w:b w:val="0"/>
          <w:bCs w:val="0"/>
          <w:sz w:val="28"/>
          <w:szCs w:val="28"/>
          <w:highlight w:val="none"/>
        </w:rPr>
        <w:t>、</w:t>
      </w:r>
      <w:r>
        <w:rPr>
          <w:rFonts w:hint="eastAsia" w:ascii="黑体" w:hAnsi="黑体" w:eastAsia="黑体" w:cs="黑体"/>
          <w:b w:val="0"/>
          <w:bCs w:val="0"/>
          <w:sz w:val="28"/>
          <w:szCs w:val="28"/>
          <w:highlight w:val="none"/>
          <w:lang w:val="en-US" w:eastAsia="zh-CN"/>
        </w:rPr>
        <w:t>服务管理团队要求</w:t>
      </w:r>
    </w:p>
    <w:p w14:paraId="76B62F42">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color w:val="000000" w:themeColor="text1"/>
          <w:sz w:val="28"/>
          <w:szCs w:val="28"/>
          <w:highlight w:val="none"/>
          <w:lang w:eastAsia="zh-CN"/>
          <w14:textFill>
            <w14:solidFill>
              <w14:schemeClr w14:val="tx1"/>
            </w14:solidFill>
          </w14:textFill>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服务单位须具有物业管理服务相关资质和集中统</w:t>
      </w:r>
      <w:r>
        <w:rPr>
          <w:rFonts w:hint="eastAsia" w:ascii="仿宋" w:hAnsi="仿宋" w:eastAsia="仿宋" w:cs="仿宋"/>
          <w:sz w:val="28"/>
          <w:szCs w:val="28"/>
          <w:highlight w:val="none"/>
          <w:lang w:val="en-US" w:eastAsia="zh-CN"/>
        </w:rPr>
        <w:t>一</w:t>
      </w:r>
      <w:r>
        <w:rPr>
          <w:rFonts w:hint="eastAsia" w:ascii="仿宋" w:hAnsi="仿宋" w:eastAsia="仿宋" w:cs="仿宋"/>
          <w:sz w:val="28"/>
          <w:szCs w:val="28"/>
          <w:highlight w:val="none"/>
        </w:rPr>
        <w:t>的企业理念、运行机制、管理结构、着装标识，具有明确的各项管理服务标准和应急预案，保证各项服务工作标准化、规范化运行，营造安全、舒适、卫生、高雅的入住环境。</w:t>
      </w:r>
    </w:p>
    <w:p w14:paraId="16A1A9C0">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.服务单位须组建一个</w:t>
      </w:r>
      <w:r>
        <w:rPr>
          <w:rFonts w:hint="eastAsia" w:ascii="仿宋" w:hAnsi="仿宋" w:eastAsia="仿宋" w:cs="仿宋"/>
          <w:sz w:val="28"/>
          <w:szCs w:val="28"/>
          <w:highlight w:val="none"/>
          <w:lang w:val="en-US" w:eastAsia="zh-CN"/>
        </w:rPr>
        <w:t>专业能力强</w:t>
      </w:r>
      <w:r>
        <w:rPr>
          <w:rFonts w:hint="eastAsia" w:ascii="仿宋" w:hAnsi="仿宋" w:eastAsia="仿宋" w:cs="仿宋"/>
          <w:sz w:val="28"/>
          <w:szCs w:val="28"/>
          <w:highlight w:val="none"/>
        </w:rPr>
        <w:t>、职责清晰的管理服务团队开展工作。其中项目管理员须具有大专及以上学历，具有物业项目经理或物业从业人员岗位证书，具有较强的管理、协调与沟通能力，确保</w:t>
      </w:r>
      <w:r>
        <w:rPr>
          <w:rFonts w:hint="eastAsia" w:ascii="仿宋" w:hAnsi="仿宋" w:eastAsia="仿宋" w:cs="仿宋"/>
          <w:sz w:val="28"/>
          <w:szCs w:val="28"/>
          <w:highlight w:val="none"/>
          <w:lang w:val="en-US" w:eastAsia="zh-CN"/>
        </w:rPr>
        <w:t>服务期间不因</w:t>
      </w:r>
      <w:r>
        <w:rPr>
          <w:rFonts w:hint="eastAsia" w:ascii="仿宋" w:hAnsi="仿宋" w:eastAsia="仿宋" w:cs="仿宋"/>
          <w:sz w:val="28"/>
          <w:szCs w:val="28"/>
          <w:highlight w:val="none"/>
        </w:rPr>
        <w:t>管理</w:t>
      </w:r>
      <w:r>
        <w:rPr>
          <w:rFonts w:hint="eastAsia" w:ascii="仿宋" w:hAnsi="仿宋" w:eastAsia="仿宋" w:cs="仿宋"/>
          <w:sz w:val="28"/>
          <w:szCs w:val="28"/>
          <w:highlight w:val="none"/>
          <w:lang w:val="en-US" w:eastAsia="zh-CN"/>
        </w:rPr>
        <w:t>问题引发服务纠纷及</w:t>
      </w:r>
      <w:r>
        <w:rPr>
          <w:rFonts w:hint="eastAsia" w:ascii="仿宋" w:hAnsi="仿宋" w:eastAsia="仿宋" w:cs="仿宋"/>
          <w:sz w:val="28"/>
          <w:szCs w:val="28"/>
          <w:highlight w:val="none"/>
        </w:rPr>
        <w:t>外事冲突</w:t>
      </w:r>
      <w:r>
        <w:rPr>
          <w:rFonts w:hint="eastAsia" w:ascii="仿宋" w:hAnsi="仿宋" w:eastAsia="仿宋" w:cs="仿宋"/>
          <w:sz w:val="28"/>
          <w:szCs w:val="28"/>
          <w:highlight w:val="none"/>
          <w:lang w:val="en-US" w:eastAsia="zh-CN"/>
        </w:rPr>
        <w:t>等</w:t>
      </w:r>
      <w:r>
        <w:rPr>
          <w:rFonts w:hint="eastAsia" w:ascii="仿宋" w:hAnsi="仿宋" w:eastAsia="仿宋" w:cs="仿宋"/>
          <w:sz w:val="28"/>
          <w:szCs w:val="28"/>
          <w:highlight w:val="none"/>
        </w:rPr>
        <w:t>。</w:t>
      </w:r>
    </w:p>
    <w:p w14:paraId="5D64D72B">
      <w:pPr>
        <w:keepNext w:val="0"/>
        <w:keepLines w:val="0"/>
        <w:pageBreakBefore w:val="0"/>
        <w:widowControl w:val="0"/>
        <w:kinsoku/>
        <w:wordWrap/>
        <w:overflowPunct/>
        <w:topLinePunct w:val="0"/>
        <w:autoSpaceDE w:val="0"/>
        <w:autoSpaceDN w:val="0"/>
        <w:bidi w:val="0"/>
        <w:adjustRightInd w:val="0"/>
        <w:spacing w:line="440" w:lineRule="exact"/>
        <w:ind w:firstLine="560" w:firstLineChars="200"/>
        <w:jc w:val="both"/>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3</w:t>
      </w:r>
      <w:r>
        <w:rPr>
          <w:rFonts w:hint="eastAsia" w:ascii="仿宋" w:hAnsi="仿宋" w:eastAsia="仿宋" w:cs="仿宋"/>
          <w:color w:val="000000" w:themeColor="text1"/>
          <w:sz w:val="28"/>
          <w:szCs w:val="28"/>
          <w:highlight w:val="none"/>
          <w14:textFill>
            <w14:solidFill>
              <w14:schemeClr w14:val="tx1"/>
            </w14:solidFill>
          </w14:textFill>
        </w:rPr>
        <w:t>.服务人员</w:t>
      </w:r>
      <w:r>
        <w:rPr>
          <w:rFonts w:hint="eastAsia" w:ascii="仿宋" w:hAnsi="仿宋" w:eastAsia="仿宋" w:cs="仿宋"/>
          <w:color w:val="000000" w:themeColor="text1"/>
          <w:sz w:val="28"/>
          <w:szCs w:val="28"/>
          <w:highlight w:val="none"/>
          <w:lang w:val="en-US" w:eastAsia="zh-CN"/>
          <w14:textFill>
            <w14:solidFill>
              <w14:schemeClr w14:val="tx1"/>
            </w14:solidFill>
          </w14:textFill>
        </w:rPr>
        <w:t>总数不低于5人</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其中</w:t>
      </w:r>
      <w:r>
        <w:rPr>
          <w:rFonts w:hint="eastAsia" w:ascii="仿宋" w:hAnsi="仿宋" w:eastAsia="仿宋" w:cs="仿宋"/>
          <w:color w:val="000000" w:themeColor="text1"/>
          <w:sz w:val="28"/>
          <w:szCs w:val="28"/>
          <w:highlight w:val="none"/>
          <w14:textFill>
            <w14:solidFill>
              <w14:schemeClr w14:val="tx1"/>
            </w14:solidFill>
          </w14:textFill>
        </w:rPr>
        <w:t>项目管理员</w:t>
      </w:r>
      <w:r>
        <w:rPr>
          <w:rFonts w:hint="eastAsia" w:ascii="仿宋" w:hAnsi="仿宋" w:eastAsia="仿宋" w:cs="仿宋"/>
          <w:color w:val="000000" w:themeColor="text1"/>
          <w:sz w:val="28"/>
          <w:szCs w:val="28"/>
          <w:highlight w:val="none"/>
          <w:lang w:val="en-US" w:eastAsia="zh-CN"/>
          <w14:textFill>
            <w14:solidFill>
              <w14:schemeClr w14:val="tx1"/>
            </w14:solidFill>
          </w14:textFill>
        </w:rPr>
        <w:t>不超过</w:t>
      </w:r>
      <w:r>
        <w:rPr>
          <w:rFonts w:hint="eastAsia" w:ascii="仿宋" w:hAnsi="仿宋" w:eastAsia="仿宋" w:cs="仿宋"/>
          <w:color w:val="000000" w:themeColor="text1"/>
          <w:sz w:val="28"/>
          <w:szCs w:val="28"/>
          <w:lang w:val="en-US" w:eastAsia="zh-CN"/>
          <w14:textFill>
            <w14:solidFill>
              <w14:schemeClr w14:val="tx1"/>
            </w14:solidFill>
          </w14:textFill>
        </w:rPr>
        <w:t>50周岁；前台工作人员、值班人员及保洁人员不超过55周岁，</w:t>
      </w:r>
      <w:r>
        <w:rPr>
          <w:rFonts w:hint="eastAsia" w:ascii="仿宋" w:hAnsi="仿宋" w:eastAsia="仿宋" w:cs="仿宋"/>
          <w:color w:val="000000" w:themeColor="text1"/>
          <w:sz w:val="28"/>
          <w:szCs w:val="28"/>
          <w14:textFill>
            <w14:solidFill>
              <w14:schemeClr w14:val="tx1"/>
            </w14:solidFill>
          </w14:textFill>
        </w:rPr>
        <w:t>考虑实际工作需求，建议以女性工作人员为主</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且至少有1名男性工作人员。</w:t>
      </w:r>
    </w:p>
    <w:p w14:paraId="41D55C22">
      <w:pPr>
        <w:keepNext w:val="0"/>
        <w:keepLines w:val="0"/>
        <w:pageBreakBefore w:val="0"/>
        <w:widowControl w:val="0"/>
        <w:kinsoku/>
        <w:wordWrap/>
        <w:overflowPunct/>
        <w:topLinePunct w:val="0"/>
        <w:autoSpaceDE w:val="0"/>
        <w:autoSpaceDN w:val="0"/>
        <w:bidi w:val="0"/>
        <w:adjustRightInd w:val="0"/>
        <w:spacing w:line="440" w:lineRule="exact"/>
        <w:ind w:firstLine="560" w:firstLineChars="200"/>
        <w:jc w:val="both"/>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4.服务单位需</w:t>
      </w:r>
      <w:r>
        <w:rPr>
          <w:rFonts w:hint="eastAsia" w:ascii="仿宋" w:hAnsi="仿宋" w:eastAsia="仿宋" w:cs="仿宋"/>
          <w:color w:val="000000" w:themeColor="text1"/>
          <w:sz w:val="28"/>
          <w:szCs w:val="28"/>
          <w14:textFill>
            <w14:solidFill>
              <w14:schemeClr w14:val="tx1"/>
            </w14:solidFill>
          </w14:textFill>
        </w:rPr>
        <w:t>建立大</w:t>
      </w:r>
      <w:r>
        <w:rPr>
          <w:rFonts w:hint="eastAsia" w:ascii="仿宋" w:hAnsi="仿宋" w:eastAsia="仿宋" w:cs="仿宋"/>
          <w:color w:val="000000" w:themeColor="text1"/>
          <w:sz w:val="28"/>
          <w:szCs w:val="28"/>
          <w:shd w:val="clear" w:fill="FFFFFF" w:themeFill="background1"/>
          <w14:textFill>
            <w14:solidFill>
              <w14:schemeClr w14:val="tx1"/>
            </w14:solidFill>
          </w14:textFill>
        </w:rPr>
        <w:t>楼物业管理服务档案</w:t>
      </w:r>
      <w:r>
        <w:rPr>
          <w:rFonts w:hint="eastAsia" w:ascii="仿宋" w:hAnsi="仿宋" w:eastAsia="仿宋" w:cs="仿宋"/>
          <w:color w:val="000000" w:themeColor="text1"/>
          <w:sz w:val="28"/>
          <w:szCs w:val="28"/>
          <w:shd w:val="clear" w:fill="FFFFFF" w:themeFill="background1"/>
          <w:lang w:eastAsia="zh-CN"/>
          <w14:textFill>
            <w14:solidFill>
              <w14:schemeClr w14:val="tx1"/>
            </w14:solidFill>
          </w14:textFill>
        </w:rPr>
        <w:t>（</w:t>
      </w:r>
      <w:r>
        <w:rPr>
          <w:rFonts w:hint="eastAsia" w:ascii="仿宋" w:hAnsi="仿宋" w:eastAsia="仿宋" w:cs="仿宋"/>
          <w:color w:val="000000" w:themeColor="text1"/>
          <w:sz w:val="28"/>
          <w:szCs w:val="28"/>
          <w:shd w:val="clear" w:fill="FFFFFF" w:themeFill="background1"/>
          <w:lang w:val="en-US" w:eastAsia="zh-CN"/>
          <w14:textFill>
            <w14:solidFill>
              <w14:schemeClr w14:val="tx1"/>
            </w14:solidFill>
          </w14:textFill>
        </w:rPr>
        <w:t>包括但不限于员工名册、</w:t>
      </w:r>
      <w:r>
        <w:rPr>
          <w:rFonts w:hint="eastAsia" w:ascii="仿宋" w:hAnsi="仿宋" w:eastAsia="仿宋" w:cs="仿宋"/>
          <w:color w:val="000000" w:themeColor="text1"/>
          <w:sz w:val="28"/>
          <w:szCs w:val="28"/>
          <w:shd w:val="clear" w:fill="FFFFFF" w:themeFill="background1"/>
          <w14:textFill>
            <w14:solidFill>
              <w14:schemeClr w14:val="tx1"/>
            </w14:solidFill>
          </w14:textFill>
        </w:rPr>
        <w:t>入住人员、卫生保洁、设施设备</w:t>
      </w:r>
      <w:r>
        <w:rPr>
          <w:rFonts w:hint="eastAsia" w:ascii="仿宋" w:hAnsi="仿宋" w:eastAsia="仿宋" w:cs="仿宋"/>
          <w:color w:val="000000" w:themeColor="text1"/>
          <w:sz w:val="28"/>
          <w:szCs w:val="28"/>
          <w:shd w:val="clear" w:fill="FFFFFF" w:themeFill="background1"/>
          <w:lang w:val="en-US" w:eastAsia="zh-CN"/>
          <w14:textFill>
            <w14:solidFill>
              <w14:schemeClr w14:val="tx1"/>
            </w14:solidFill>
          </w14:textFill>
        </w:rPr>
        <w:t>等信息</w:t>
      </w:r>
      <w:r>
        <w:rPr>
          <w:rFonts w:hint="eastAsia" w:ascii="仿宋" w:hAnsi="仿宋" w:eastAsia="仿宋" w:cs="仿宋"/>
          <w:color w:val="000000" w:themeColor="text1"/>
          <w:sz w:val="28"/>
          <w:szCs w:val="28"/>
          <w:shd w:val="clear" w:fill="FFFFFF" w:themeFill="background1"/>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并及时记载有关变更情况</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服务期满，需及时向学校移交全部物业管理档案及有关资料</w:t>
      </w:r>
      <w:r>
        <w:rPr>
          <w:rFonts w:hint="eastAsia" w:ascii="仿宋" w:hAnsi="仿宋" w:eastAsia="仿宋" w:cs="仿宋"/>
          <w:color w:val="000000" w:themeColor="text1"/>
          <w:sz w:val="28"/>
          <w:szCs w:val="28"/>
          <w:lang w:eastAsia="zh-CN"/>
          <w14:textFill>
            <w14:solidFill>
              <w14:schemeClr w14:val="tx1"/>
            </w14:solidFill>
          </w14:textFill>
        </w:rPr>
        <w:t>。</w:t>
      </w:r>
    </w:p>
    <w:p w14:paraId="100320B6">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.管理服务应遵照本</w:t>
      </w:r>
      <w:r>
        <w:rPr>
          <w:rFonts w:hint="eastAsia" w:ascii="仿宋" w:hAnsi="仿宋" w:eastAsia="仿宋" w:cs="仿宋"/>
          <w:sz w:val="28"/>
          <w:szCs w:val="28"/>
          <w:lang w:val="en-US" w:eastAsia="zh-CN"/>
        </w:rPr>
        <w:t>要求</w:t>
      </w:r>
      <w:r>
        <w:rPr>
          <w:rFonts w:hint="eastAsia" w:ascii="仿宋" w:hAnsi="仿宋" w:eastAsia="仿宋" w:cs="仿宋"/>
          <w:sz w:val="28"/>
          <w:szCs w:val="28"/>
        </w:rPr>
        <w:t>和考核要求执行，服务期内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校方</w:t>
      </w:r>
      <w:r>
        <w:rPr>
          <w:rFonts w:hint="eastAsia" w:ascii="仿宋" w:hAnsi="仿宋" w:eastAsia="仿宋" w:cs="仿宋"/>
          <w:sz w:val="28"/>
          <w:szCs w:val="28"/>
        </w:rPr>
        <w:t>按照相关服务要求和考核要求进行考核评价。</w:t>
      </w:r>
    </w:p>
    <w:p w14:paraId="18266BD8">
      <w:pPr>
        <w:keepNext w:val="0"/>
        <w:keepLines w:val="0"/>
        <w:pageBreakBefore w:val="0"/>
        <w:widowControl w:val="0"/>
        <w:kinsoku/>
        <w:wordWrap/>
        <w:overflowPunct/>
        <w:topLinePunct w:val="0"/>
        <w:bidi w:val="0"/>
        <w:spacing w:line="440" w:lineRule="exact"/>
        <w:ind w:firstLine="560" w:firstLineChars="200"/>
        <w:jc w:val="both"/>
        <w:textAlignment w:val="auto"/>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二、主要服务内容与要求</w:t>
      </w:r>
    </w:p>
    <w:p w14:paraId="29ECA469">
      <w:pPr>
        <w:keepNext w:val="0"/>
        <w:keepLines w:val="0"/>
        <w:pageBreakBefore w:val="0"/>
        <w:widowControl w:val="0"/>
        <w:kinsoku/>
        <w:wordWrap/>
        <w:overflowPunct/>
        <w:topLinePunct w:val="0"/>
        <w:bidi w:val="0"/>
        <w:spacing w:line="440" w:lineRule="exact"/>
        <w:ind w:firstLine="562" w:firstLineChars="200"/>
        <w:jc w:val="both"/>
        <w:textAlignment w:val="auto"/>
        <w:rPr>
          <w:rFonts w:hint="eastAsia" w:ascii="仿宋" w:hAnsi="仿宋" w:eastAsia="仿宋" w:cs="仿宋"/>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一</w:t>
      </w:r>
      <w:r>
        <w:rPr>
          <w:rFonts w:hint="eastAsia" w:ascii="仿宋" w:hAnsi="仿宋" w:eastAsia="仿宋" w:cs="仿宋"/>
          <w:b/>
          <w:bCs/>
          <w:sz w:val="28"/>
          <w:szCs w:val="28"/>
          <w:lang w:eastAsia="zh-CN"/>
        </w:rPr>
        <w:t>）</w:t>
      </w:r>
      <w:r>
        <w:rPr>
          <w:rFonts w:hint="eastAsia" w:ascii="仿宋" w:hAnsi="仿宋" w:eastAsia="仿宋" w:cs="仿宋"/>
          <w:b/>
          <w:bCs/>
          <w:sz w:val="28"/>
          <w:szCs w:val="28"/>
        </w:rPr>
        <w:t>前台接待</w:t>
      </w:r>
      <w:r>
        <w:rPr>
          <w:rFonts w:hint="eastAsia" w:ascii="仿宋" w:hAnsi="仿宋" w:eastAsia="仿宋" w:cs="仿宋"/>
          <w:b/>
          <w:bCs/>
          <w:sz w:val="28"/>
          <w:szCs w:val="28"/>
          <w:lang w:val="en-US" w:eastAsia="zh-CN"/>
        </w:rPr>
        <w:t>与</w:t>
      </w:r>
      <w:r>
        <w:rPr>
          <w:rFonts w:hint="eastAsia" w:ascii="仿宋" w:hAnsi="仿宋" w:eastAsia="仿宋" w:cs="仿宋"/>
          <w:b/>
          <w:bCs/>
          <w:sz w:val="28"/>
          <w:szCs w:val="28"/>
        </w:rPr>
        <w:t>大楼值班</w:t>
      </w:r>
    </w:p>
    <w:p w14:paraId="79E55C5A">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1.实行大楼24小时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包含周末、寒暑假及节假日</w:t>
      </w:r>
      <w:r>
        <w:rPr>
          <w:rFonts w:hint="eastAsia" w:ascii="仿宋" w:hAnsi="仿宋" w:eastAsia="仿宋" w:cs="仿宋"/>
          <w:sz w:val="28"/>
          <w:szCs w:val="28"/>
          <w:lang w:eastAsia="zh-CN"/>
        </w:rPr>
        <w:t>）</w:t>
      </w:r>
      <w:r>
        <w:rPr>
          <w:rFonts w:hint="eastAsia" w:ascii="仿宋" w:hAnsi="仿宋" w:eastAsia="仿宋" w:cs="仿宋"/>
          <w:sz w:val="28"/>
          <w:szCs w:val="28"/>
        </w:rPr>
        <w:t>值班管理</w:t>
      </w:r>
      <w:r>
        <w:rPr>
          <w:rFonts w:hint="eastAsia" w:ascii="仿宋" w:hAnsi="仿宋" w:eastAsia="仿宋" w:cs="仿宋"/>
          <w:sz w:val="28"/>
          <w:szCs w:val="28"/>
          <w:lang w:val="en-US" w:eastAsia="zh-CN"/>
        </w:rPr>
        <w:t>服务制度</w:t>
      </w:r>
      <w:r>
        <w:rPr>
          <w:rFonts w:hint="eastAsia" w:ascii="仿宋" w:hAnsi="仿宋" w:eastAsia="仿宋" w:cs="仿宋"/>
          <w:sz w:val="28"/>
          <w:szCs w:val="28"/>
        </w:rPr>
        <w:t>，做好</w:t>
      </w:r>
      <w:r>
        <w:rPr>
          <w:rFonts w:hint="eastAsia" w:ascii="仿宋" w:hAnsi="仿宋" w:eastAsia="仿宋" w:cs="仿宋"/>
          <w:sz w:val="28"/>
          <w:szCs w:val="28"/>
          <w:lang w:val="en-US" w:eastAsia="zh-CN"/>
        </w:rPr>
        <w:t>前台</w:t>
      </w:r>
      <w:r>
        <w:rPr>
          <w:rFonts w:hint="eastAsia" w:ascii="仿宋" w:hAnsi="仿宋" w:eastAsia="仿宋" w:cs="仿宋"/>
          <w:sz w:val="28"/>
          <w:szCs w:val="28"/>
        </w:rPr>
        <w:t>接待</w:t>
      </w:r>
      <w:r>
        <w:rPr>
          <w:rFonts w:hint="eastAsia" w:ascii="仿宋" w:hAnsi="仿宋" w:eastAsia="仿宋" w:cs="仿宋"/>
          <w:sz w:val="28"/>
          <w:szCs w:val="28"/>
          <w:highlight w:val="none"/>
        </w:rPr>
        <w:t>、登记</w:t>
      </w:r>
      <w:r>
        <w:rPr>
          <w:rFonts w:hint="eastAsia" w:ascii="仿宋" w:hAnsi="仿宋" w:eastAsia="仿宋" w:cs="仿宋"/>
          <w:sz w:val="28"/>
          <w:szCs w:val="28"/>
          <w:highlight w:val="none"/>
          <w:lang w:eastAsia="zh-CN"/>
        </w:rPr>
        <w:t>、</w:t>
      </w:r>
      <w:r>
        <w:rPr>
          <w:rFonts w:hint="eastAsia" w:ascii="仿宋" w:hAnsi="仿宋" w:eastAsia="仿宋" w:cs="仿宋"/>
          <w:sz w:val="28"/>
          <w:szCs w:val="28"/>
          <w:lang w:val="en-US" w:eastAsia="zh-CN"/>
        </w:rPr>
        <w:t>入退住等工</w:t>
      </w:r>
      <w:r>
        <w:rPr>
          <w:rFonts w:hint="eastAsia" w:ascii="仿宋" w:hAnsi="仿宋" w:eastAsia="仿宋" w:cs="仿宋"/>
          <w:sz w:val="28"/>
          <w:szCs w:val="28"/>
        </w:rPr>
        <w:t>作</w:t>
      </w:r>
      <w:r>
        <w:rPr>
          <w:rFonts w:hint="eastAsia" w:ascii="仿宋" w:hAnsi="仿宋" w:eastAsia="仿宋" w:cs="仿宋"/>
          <w:sz w:val="28"/>
          <w:szCs w:val="28"/>
          <w:lang w:eastAsia="zh-CN"/>
        </w:rPr>
        <w:t>，</w:t>
      </w:r>
      <w:r>
        <w:rPr>
          <w:rFonts w:hint="eastAsia" w:ascii="仿宋" w:hAnsi="仿宋" w:eastAsia="仿宋" w:cs="仿宋"/>
          <w:sz w:val="28"/>
          <w:szCs w:val="28"/>
        </w:rPr>
        <w:t>熟悉楼内人员情况。</w:t>
      </w:r>
    </w:p>
    <w:p w14:paraId="10249192">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做好入住人员隐私和安全保护，</w:t>
      </w:r>
      <w:r>
        <w:rPr>
          <w:rFonts w:hint="eastAsia" w:ascii="仿宋" w:hAnsi="仿宋" w:eastAsia="仿宋" w:cs="仿宋"/>
          <w:sz w:val="28"/>
          <w:szCs w:val="28"/>
          <w:highlight w:val="none"/>
        </w:rPr>
        <w:t>严格执行来访人员登记制度，核实</w:t>
      </w:r>
      <w:r>
        <w:rPr>
          <w:rFonts w:hint="eastAsia" w:ascii="仿宋" w:hAnsi="仿宋" w:eastAsia="仿宋" w:cs="仿宋"/>
          <w:sz w:val="28"/>
          <w:szCs w:val="28"/>
          <w:highlight w:val="none"/>
          <w:lang w:val="en-US" w:eastAsia="zh-CN"/>
        </w:rPr>
        <w:t>被</w:t>
      </w:r>
      <w:r>
        <w:rPr>
          <w:rFonts w:hint="eastAsia" w:ascii="仿宋" w:hAnsi="仿宋" w:eastAsia="仿宋" w:cs="仿宋"/>
          <w:sz w:val="28"/>
          <w:szCs w:val="28"/>
          <w:highlight w:val="none"/>
        </w:rPr>
        <w:t>访人</w:t>
      </w:r>
      <w:r>
        <w:rPr>
          <w:rFonts w:hint="eastAsia" w:ascii="仿宋" w:hAnsi="仿宋" w:eastAsia="仿宋" w:cs="仿宋"/>
          <w:sz w:val="28"/>
          <w:szCs w:val="28"/>
          <w:highlight w:val="none"/>
          <w:lang w:val="en-US" w:eastAsia="zh-CN"/>
        </w:rPr>
        <w:t>员</w:t>
      </w:r>
      <w:r>
        <w:rPr>
          <w:rFonts w:hint="eastAsia" w:ascii="仿宋" w:hAnsi="仿宋" w:eastAsia="仿宋" w:cs="仿宋"/>
          <w:sz w:val="28"/>
          <w:szCs w:val="28"/>
          <w:highlight w:val="none"/>
        </w:rPr>
        <w:t>的姓名和室号</w:t>
      </w:r>
      <w:r>
        <w:rPr>
          <w:rFonts w:hint="eastAsia" w:ascii="仿宋" w:hAnsi="仿宋" w:eastAsia="仿宋" w:cs="仿宋"/>
          <w:sz w:val="28"/>
          <w:szCs w:val="28"/>
          <w:highlight w:val="none"/>
          <w:lang w:val="en-US" w:eastAsia="zh-CN"/>
        </w:rPr>
        <w:t>后，与被访人员沟通，经被访人员同意后，方可允许来访人员进入</w:t>
      </w:r>
      <w:r>
        <w:rPr>
          <w:rFonts w:hint="eastAsia" w:ascii="仿宋" w:hAnsi="仿宋" w:eastAsia="仿宋" w:cs="仿宋"/>
          <w:sz w:val="28"/>
          <w:szCs w:val="28"/>
          <w:highlight w:val="none"/>
        </w:rPr>
        <w:t>。</w:t>
      </w:r>
    </w:p>
    <w:p w14:paraId="1586E0E9">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3.做好大楼日常物业服务、入住人员服务及</w:t>
      </w:r>
      <w:r>
        <w:rPr>
          <w:rFonts w:hint="eastAsia" w:ascii="仿宋" w:hAnsi="仿宋" w:eastAsia="仿宋" w:cs="仿宋"/>
          <w:sz w:val="28"/>
          <w:szCs w:val="28"/>
          <w:lang w:val="en-US" w:eastAsia="zh-CN"/>
        </w:rPr>
        <w:t>相关物品管理</w:t>
      </w:r>
      <w:r>
        <w:rPr>
          <w:rFonts w:hint="eastAsia" w:ascii="仿宋" w:hAnsi="仿宋" w:eastAsia="仿宋" w:cs="仿宋"/>
          <w:sz w:val="28"/>
          <w:szCs w:val="28"/>
        </w:rPr>
        <w:t>等工作</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做好</w:t>
      </w:r>
      <w:r>
        <w:rPr>
          <w:rFonts w:hint="eastAsia" w:ascii="仿宋" w:hAnsi="仿宋" w:eastAsia="仿宋" w:cs="仿宋"/>
          <w:sz w:val="28"/>
          <w:szCs w:val="28"/>
        </w:rPr>
        <w:t>设施设备</w:t>
      </w:r>
      <w:r>
        <w:rPr>
          <w:rFonts w:hint="eastAsia" w:ascii="仿宋" w:hAnsi="仿宋" w:eastAsia="仿宋" w:cs="仿宋"/>
          <w:sz w:val="28"/>
          <w:szCs w:val="28"/>
          <w:lang w:val="en-US" w:eastAsia="zh-CN"/>
        </w:rPr>
        <w:t>日常维护和检查，如有</w:t>
      </w:r>
      <w:r>
        <w:rPr>
          <w:rFonts w:hint="eastAsia" w:ascii="仿宋" w:hAnsi="仿宋" w:eastAsia="仿宋" w:cs="仿宋"/>
          <w:sz w:val="28"/>
          <w:szCs w:val="28"/>
          <w:highlight w:val="none"/>
        </w:rPr>
        <w:t>损坏</w:t>
      </w:r>
      <w:r>
        <w:rPr>
          <w:rFonts w:hint="eastAsia" w:ascii="仿宋" w:hAnsi="仿宋" w:eastAsia="仿宋" w:cs="仿宋"/>
          <w:sz w:val="28"/>
          <w:szCs w:val="28"/>
          <w:highlight w:val="none"/>
          <w:lang w:val="en-US" w:eastAsia="zh-CN"/>
        </w:rPr>
        <w:t>需</w:t>
      </w:r>
      <w:r>
        <w:rPr>
          <w:rFonts w:hint="eastAsia" w:ascii="仿宋" w:hAnsi="仿宋" w:eastAsia="仿宋" w:cs="仿宋"/>
          <w:sz w:val="28"/>
          <w:szCs w:val="28"/>
          <w:highlight w:val="none"/>
        </w:rPr>
        <w:t>及时报修</w:t>
      </w:r>
      <w:r>
        <w:rPr>
          <w:rFonts w:hint="eastAsia" w:ascii="仿宋" w:hAnsi="仿宋" w:eastAsia="仿宋" w:cs="仿宋"/>
          <w:sz w:val="28"/>
          <w:szCs w:val="28"/>
          <w:highlight w:val="none"/>
          <w:lang w:eastAsia="zh-CN"/>
        </w:rPr>
        <w:t>。</w:t>
      </w:r>
    </w:p>
    <w:p w14:paraId="62571A82">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4.做好新入住人员</w:t>
      </w:r>
      <w:r>
        <w:rPr>
          <w:rFonts w:hint="eastAsia" w:ascii="仿宋" w:hAnsi="仿宋" w:eastAsia="仿宋" w:cs="仿宋"/>
          <w:sz w:val="28"/>
          <w:szCs w:val="28"/>
        </w:rPr>
        <w:t>接待、登记工作</w:t>
      </w:r>
      <w:r>
        <w:rPr>
          <w:rFonts w:hint="eastAsia" w:ascii="仿宋" w:hAnsi="仿宋" w:eastAsia="仿宋" w:cs="仿宋"/>
          <w:sz w:val="28"/>
          <w:szCs w:val="28"/>
          <w:lang w:val="en-US" w:eastAsia="zh-CN"/>
        </w:rPr>
        <w:t>以及咨询服务等工作</w:t>
      </w:r>
      <w:r>
        <w:rPr>
          <w:rFonts w:hint="eastAsia" w:ascii="仿宋" w:hAnsi="仿宋" w:eastAsia="仿宋" w:cs="仿宋"/>
          <w:sz w:val="28"/>
          <w:szCs w:val="28"/>
        </w:rPr>
        <w:t>；</w:t>
      </w:r>
      <w:r>
        <w:rPr>
          <w:rFonts w:hint="eastAsia" w:ascii="仿宋" w:hAnsi="仿宋" w:eastAsia="仿宋" w:cs="仿宋"/>
          <w:sz w:val="28"/>
          <w:szCs w:val="28"/>
          <w:lang w:val="en-US" w:eastAsia="zh-CN"/>
        </w:rPr>
        <w:t>做好</w:t>
      </w:r>
      <w:r>
        <w:rPr>
          <w:rFonts w:hint="eastAsia" w:ascii="仿宋" w:hAnsi="仿宋" w:eastAsia="仿宋" w:cs="仿宋"/>
          <w:sz w:val="28"/>
          <w:szCs w:val="28"/>
        </w:rPr>
        <w:t>退</w:t>
      </w:r>
      <w:r>
        <w:rPr>
          <w:rFonts w:hint="eastAsia" w:ascii="仿宋" w:hAnsi="仿宋" w:eastAsia="仿宋" w:cs="仿宋"/>
          <w:sz w:val="28"/>
          <w:szCs w:val="28"/>
          <w:lang w:val="en-US" w:eastAsia="zh-CN"/>
        </w:rPr>
        <w:t>住人员设施、设备</w:t>
      </w:r>
      <w:r>
        <w:rPr>
          <w:rFonts w:hint="eastAsia" w:ascii="仿宋" w:hAnsi="仿宋" w:eastAsia="仿宋" w:cs="仿宋"/>
          <w:sz w:val="28"/>
          <w:szCs w:val="28"/>
        </w:rPr>
        <w:t>情况</w:t>
      </w:r>
      <w:r>
        <w:rPr>
          <w:rFonts w:hint="eastAsia" w:ascii="仿宋" w:hAnsi="仿宋" w:eastAsia="仿宋" w:cs="仿宋"/>
          <w:sz w:val="28"/>
          <w:szCs w:val="28"/>
          <w:lang w:val="en-US" w:eastAsia="zh-CN"/>
        </w:rPr>
        <w:t>检查工作</w:t>
      </w:r>
      <w:r>
        <w:rPr>
          <w:rFonts w:hint="eastAsia" w:ascii="仿宋" w:hAnsi="仿宋" w:eastAsia="仿宋" w:cs="仿宋"/>
          <w:sz w:val="28"/>
          <w:szCs w:val="28"/>
        </w:rPr>
        <w:t>，若有损坏及时上报</w:t>
      </w:r>
      <w:r>
        <w:rPr>
          <w:rFonts w:hint="eastAsia" w:ascii="仿宋" w:hAnsi="仿宋" w:eastAsia="仿宋" w:cs="仿宋"/>
          <w:sz w:val="28"/>
          <w:szCs w:val="28"/>
          <w:lang w:eastAsia="zh-CN"/>
        </w:rPr>
        <w:t>，</w:t>
      </w:r>
      <w:r>
        <w:rPr>
          <w:rFonts w:hint="eastAsia" w:ascii="仿宋" w:hAnsi="仿宋" w:eastAsia="仿宋" w:cs="仿宋"/>
          <w:sz w:val="28"/>
          <w:szCs w:val="28"/>
        </w:rPr>
        <w:t>并做好记录。</w:t>
      </w:r>
    </w:p>
    <w:p w14:paraId="59527DC7">
      <w:pPr>
        <w:keepNext w:val="0"/>
        <w:keepLines w:val="0"/>
        <w:pageBreakBefore w:val="0"/>
        <w:widowControl w:val="0"/>
        <w:kinsoku/>
        <w:wordWrap/>
        <w:overflowPunct/>
        <w:topLinePunct w:val="0"/>
        <w:bidi w:val="0"/>
        <w:spacing w:line="440" w:lineRule="exact"/>
        <w:ind w:firstLine="562" w:firstLineChars="200"/>
        <w:jc w:val="both"/>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（二）</w:t>
      </w:r>
      <w:r>
        <w:rPr>
          <w:rFonts w:hint="eastAsia" w:ascii="仿宋" w:hAnsi="仿宋" w:eastAsia="仿宋" w:cs="仿宋"/>
          <w:b/>
          <w:bCs/>
          <w:sz w:val="28"/>
          <w:szCs w:val="28"/>
          <w:lang w:val="en-US" w:eastAsia="zh-CN"/>
        </w:rPr>
        <w:t>保洁工作内容与要求</w:t>
      </w:r>
    </w:p>
    <w:p w14:paraId="4B86D9F4">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1.做好</w:t>
      </w:r>
      <w:r>
        <w:rPr>
          <w:rFonts w:hint="eastAsia" w:ascii="仿宋" w:hAnsi="仿宋" w:eastAsia="仿宋" w:cs="仿宋"/>
          <w:sz w:val="28"/>
          <w:szCs w:val="28"/>
        </w:rPr>
        <w:t>湖州师范学院值班室等相关用房（</w:t>
      </w:r>
      <w:r>
        <w:rPr>
          <w:rFonts w:hint="eastAsia" w:ascii="仿宋" w:hAnsi="仿宋" w:eastAsia="仿宋" w:cs="仿宋"/>
          <w:sz w:val="28"/>
          <w:szCs w:val="28"/>
          <w:lang w:val="en-US" w:eastAsia="zh-CN"/>
        </w:rPr>
        <w:t>具体用房，</w:t>
      </w:r>
      <w:r>
        <w:rPr>
          <w:rFonts w:hint="eastAsia" w:ascii="仿宋" w:hAnsi="仿宋" w:eastAsia="仿宋" w:cs="仿宋"/>
          <w:sz w:val="28"/>
          <w:szCs w:val="28"/>
        </w:rPr>
        <w:t>根据甲方实际需求</w:t>
      </w:r>
      <w:r>
        <w:rPr>
          <w:rFonts w:hint="eastAsia" w:ascii="仿宋" w:hAnsi="仿宋" w:eastAsia="仿宋" w:cs="仿宋"/>
          <w:sz w:val="28"/>
          <w:szCs w:val="28"/>
          <w:lang w:val="en-US" w:eastAsia="zh-CN"/>
        </w:rPr>
        <w:t>确定</w:t>
      </w:r>
      <w:r>
        <w:rPr>
          <w:rFonts w:hint="eastAsia" w:ascii="仿宋" w:hAnsi="仿宋" w:eastAsia="仿宋" w:cs="仿宋"/>
          <w:sz w:val="28"/>
          <w:szCs w:val="28"/>
        </w:rPr>
        <w:t>）需宾馆化保洁与管理</w:t>
      </w:r>
      <w:r>
        <w:rPr>
          <w:rFonts w:hint="eastAsia" w:ascii="仿宋" w:hAnsi="仿宋" w:eastAsia="仿宋" w:cs="仿宋"/>
          <w:sz w:val="28"/>
          <w:szCs w:val="28"/>
          <w:lang w:eastAsia="zh-CN"/>
        </w:rPr>
        <w:t>，房间入住前及退房后的卫生保洁、床上用品清洗、晾晒与存放等工作。</w:t>
      </w:r>
    </w:p>
    <w:p w14:paraId="3F9DE0E0">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2.做好日常保洁工作，包括室内外墙面、地板、门窗、消防和水电设施设备、卫生间、电梯、垃圾桶及门前三包等工作。</w:t>
      </w:r>
    </w:p>
    <w:p w14:paraId="5DD1219E">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地面、墙面、顶面﹙天花板﹚、楼道及窗护栏、消防设施设备、水电设施设备、果皮箱、门﹙防盗门、木门、不锈钢拉闸门﹚、窗、桌椅柜、标识牌、装饰板牌等：每日清扫﹙拖、擦、抹﹚两次并随时保洁，每周全面、彻底清扫﹙拖、擦、抹﹚一次，做到干净明亮，无蜘蛛网、灰尘、污垢、污迹、污渍、垃圾等杂物，楼宇内、外墙壁上无张贴、涂鸦，无蜘蛛网、污迹等；遇到天气变化时，注意保护门窗，防止损坏</w:t>
      </w:r>
      <w:r>
        <w:rPr>
          <w:rFonts w:hint="eastAsia" w:ascii="仿宋" w:hAnsi="仿宋" w:eastAsia="仿宋" w:cs="仿宋"/>
          <w:sz w:val="28"/>
          <w:szCs w:val="28"/>
          <w:lang w:eastAsia="zh-CN"/>
        </w:rPr>
        <w:t>。</w:t>
      </w:r>
    </w:p>
    <w:p w14:paraId="656A26EC">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灯管、灯罩、灯吊链：每月清洁，做到干净，无蜘蛛网、灰尘</w:t>
      </w:r>
      <w:r>
        <w:rPr>
          <w:rFonts w:hint="eastAsia" w:ascii="仿宋" w:hAnsi="仿宋" w:eastAsia="仿宋" w:cs="仿宋"/>
          <w:sz w:val="28"/>
          <w:szCs w:val="28"/>
          <w:lang w:eastAsia="zh-CN"/>
        </w:rPr>
        <w:t>。</w:t>
      </w:r>
    </w:p>
    <w:p w14:paraId="49DA4CF5">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玻璃：各楼门厅玻璃，每天清擦一次</w:t>
      </w:r>
      <w:r>
        <w:rPr>
          <w:rFonts w:hint="eastAsia" w:ascii="仿宋" w:hAnsi="仿宋" w:eastAsia="仿宋" w:cs="仿宋"/>
          <w:sz w:val="28"/>
          <w:szCs w:val="28"/>
          <w:lang w:eastAsia="zh-CN"/>
        </w:rPr>
        <w:t>；</w:t>
      </w:r>
      <w:r>
        <w:rPr>
          <w:rFonts w:hint="eastAsia" w:ascii="仿宋" w:hAnsi="仿宋" w:eastAsia="仿宋" w:cs="仿宋"/>
          <w:sz w:val="28"/>
          <w:szCs w:val="28"/>
        </w:rPr>
        <w:t>楼梯道、公共过道门窗玻璃、卫生间玻璃，每周全面、彻底清擦一次。做到干净，无蜘蛛网、灰尘、污迹</w:t>
      </w:r>
      <w:r>
        <w:rPr>
          <w:rFonts w:hint="eastAsia" w:ascii="仿宋" w:hAnsi="仿宋" w:eastAsia="仿宋" w:cs="仿宋"/>
          <w:sz w:val="28"/>
          <w:szCs w:val="28"/>
          <w:lang w:eastAsia="zh-CN"/>
        </w:rPr>
        <w:t>。</w:t>
      </w:r>
    </w:p>
    <w:p w14:paraId="26A3FC31">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卫生间、洗衣房等公共区域：每日清扫﹙拖、擦、抹﹚两次并随时保洁，每周全面、彻底清扫﹙拖、擦、抹﹚一次，做到地面、墙壁及瓷砖清洁，无积水湿滑、无污垢、无异味、无垃圾等杂物。</w:t>
      </w:r>
    </w:p>
    <w:p w14:paraId="76F2B4DC">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电梯：每天清扫两次，确保干净整洁。</w:t>
      </w:r>
    </w:p>
    <w:p w14:paraId="0FEE2C21">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清洁剂使用：要求使用无刺激性气味清洁剂，定期喷洒空气清新剂；清洁剂残液要倾倒于指定的区域，不要随地清倒；强酸强碱处理后的地面区域要及时用清水冲洗一次；强酸碱残液须经安全无害化稀释处理后</w:t>
      </w:r>
      <w:r>
        <w:rPr>
          <w:rFonts w:hint="default" w:ascii="仿宋" w:hAnsi="仿宋" w:eastAsia="仿宋" w:cs="仿宋"/>
          <w:sz w:val="28"/>
          <w:szCs w:val="28"/>
        </w:rPr>
        <w:t>方可倾倒于</w:t>
      </w:r>
      <w:r>
        <w:rPr>
          <w:rFonts w:hint="eastAsia" w:ascii="仿宋" w:hAnsi="仿宋" w:eastAsia="仿宋" w:cs="仿宋"/>
          <w:sz w:val="28"/>
          <w:szCs w:val="28"/>
        </w:rPr>
        <w:t>指定位置。</w:t>
      </w:r>
    </w:p>
    <w:p w14:paraId="437FB6E7">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lang w:val="en-US" w:eastAsia="zh-CN"/>
        </w:rPr>
        <w:t>（7）</w:t>
      </w:r>
      <w:r>
        <w:rPr>
          <w:rFonts w:hint="eastAsia" w:ascii="仿宋" w:hAnsi="仿宋" w:eastAsia="仿宋" w:cs="仿宋"/>
          <w:sz w:val="28"/>
          <w:szCs w:val="28"/>
        </w:rPr>
        <w:t>生活垃圾管理：</w:t>
      </w:r>
      <w:r>
        <w:rPr>
          <w:rFonts w:hint="eastAsia" w:ascii="仿宋" w:hAnsi="仿宋" w:eastAsia="仿宋" w:cs="仿宋"/>
          <w:sz w:val="28"/>
          <w:szCs w:val="28"/>
          <w:lang w:val="en-US" w:eastAsia="zh-CN"/>
        </w:rPr>
        <w:t>做好</w:t>
      </w:r>
      <w:r>
        <w:rPr>
          <w:rFonts w:hint="eastAsia" w:ascii="仿宋" w:hAnsi="仿宋" w:eastAsia="仿宋" w:cs="仿宋"/>
          <w:sz w:val="28"/>
          <w:szCs w:val="28"/>
        </w:rPr>
        <w:t>垃圾分类工作</w:t>
      </w:r>
      <w:r>
        <w:rPr>
          <w:rFonts w:hint="eastAsia" w:ascii="仿宋" w:hAnsi="仿宋" w:eastAsia="仿宋" w:cs="仿宋"/>
          <w:sz w:val="28"/>
          <w:szCs w:val="28"/>
          <w:lang w:eastAsia="zh-CN"/>
        </w:rPr>
        <w:t>，</w:t>
      </w:r>
      <w:r>
        <w:rPr>
          <w:rFonts w:hint="eastAsia" w:ascii="仿宋" w:hAnsi="仿宋" w:eastAsia="仿宋" w:cs="仿宋"/>
          <w:sz w:val="28"/>
          <w:szCs w:val="28"/>
        </w:rPr>
        <w:t>根据《浙江省生活垃圾管理条例》规范</w:t>
      </w:r>
      <w:r>
        <w:rPr>
          <w:rFonts w:hint="eastAsia" w:ascii="仿宋" w:hAnsi="仿宋" w:eastAsia="仿宋" w:cs="仿宋"/>
          <w:sz w:val="28"/>
          <w:szCs w:val="28"/>
          <w:lang w:val="en-US" w:eastAsia="zh-CN"/>
        </w:rPr>
        <w:t>及</w:t>
      </w:r>
      <w:r>
        <w:rPr>
          <w:rFonts w:hint="eastAsia" w:ascii="仿宋" w:hAnsi="仿宋" w:eastAsia="仿宋" w:cs="仿宋"/>
          <w:sz w:val="28"/>
          <w:szCs w:val="28"/>
        </w:rPr>
        <w:t>学校相关管理要求，分类设施配置标准及要求设置分类垃圾收集容器，规范生活垃圾分类投放，分类收集，垃圾桶及时清倒，清扫工具放到指定位置</w:t>
      </w:r>
      <w:r>
        <w:rPr>
          <w:rFonts w:hint="eastAsia" w:ascii="仿宋" w:hAnsi="仿宋" w:eastAsia="仿宋" w:cs="仿宋"/>
          <w:color w:val="000000" w:themeColor="text1"/>
          <w:sz w:val="28"/>
          <w:szCs w:val="28"/>
          <w14:textFill>
            <w14:solidFill>
              <w14:schemeClr w14:val="tx1"/>
            </w14:solidFill>
          </w14:textFill>
        </w:rPr>
        <w:t>。</w:t>
      </w:r>
    </w:p>
    <w:p w14:paraId="2031DFC1">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（8）</w:t>
      </w:r>
      <w:r>
        <w:rPr>
          <w:rFonts w:hint="eastAsia" w:ascii="仿宋" w:hAnsi="仿宋" w:eastAsia="仿宋" w:cs="仿宋"/>
          <w:sz w:val="28"/>
          <w:szCs w:val="28"/>
        </w:rPr>
        <w:t>门前</w:t>
      </w:r>
      <w:r>
        <w:rPr>
          <w:rFonts w:hint="eastAsia" w:ascii="仿宋" w:hAnsi="仿宋" w:eastAsia="仿宋" w:cs="仿宋"/>
          <w:sz w:val="28"/>
          <w:szCs w:val="28"/>
          <w:lang w:val="en-US" w:eastAsia="zh-CN"/>
        </w:rPr>
        <w:t>卫生</w:t>
      </w:r>
      <w:r>
        <w:rPr>
          <w:rFonts w:hint="eastAsia" w:ascii="仿宋" w:hAnsi="仿宋" w:eastAsia="仿宋" w:cs="仿宋"/>
          <w:sz w:val="28"/>
          <w:szCs w:val="28"/>
        </w:rPr>
        <w:t>三包：每日清扫一次并随时保洁，每周全面、彻底清扫一次。做到无垃圾、烟头、果</w:t>
      </w:r>
      <w:r>
        <w:rPr>
          <w:rFonts w:hint="eastAsia" w:ascii="仿宋" w:hAnsi="仿宋" w:eastAsia="仿宋" w:cs="仿宋"/>
          <w:color w:val="000000" w:themeColor="text1"/>
          <w:sz w:val="28"/>
          <w:szCs w:val="28"/>
          <w14:textFill>
            <w14:solidFill>
              <w14:schemeClr w14:val="tx1"/>
            </w14:solidFill>
          </w14:textFill>
        </w:rPr>
        <w:t>皮纸屑等杂物</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门口路面无杂草，绿化带内无杂物。</w:t>
      </w:r>
    </w:p>
    <w:p w14:paraId="38EB83B4">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color w:val="000000" w:themeColor="text1"/>
          <w:sz w:val="28"/>
          <w:szCs w:val="28"/>
          <w:lang w:val="en-US" w:eastAsia="zh-CN"/>
          <w14:textFill>
            <w14:solidFill>
              <w14:schemeClr w14:val="tx1"/>
            </w14:solidFill>
          </w14:textFill>
        </w:rPr>
      </w:pPr>
    </w:p>
    <w:p w14:paraId="6D247E96">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b/>
          <w:bCs/>
          <w:sz w:val="28"/>
          <w:szCs w:val="28"/>
          <w:lang w:val="en-US" w:eastAsia="zh-CN"/>
        </w:rPr>
      </w:pPr>
      <w:r>
        <w:rPr>
          <w:rFonts w:hint="eastAsia" w:ascii="黑体" w:hAnsi="黑体" w:eastAsia="黑体" w:cs="黑体"/>
          <w:b w:val="0"/>
          <w:bCs w:val="0"/>
          <w:sz w:val="28"/>
          <w:szCs w:val="28"/>
          <w:lang w:val="en-US" w:eastAsia="zh-CN"/>
        </w:rPr>
        <w:t>三、其它工作要求</w:t>
      </w:r>
    </w:p>
    <w:p w14:paraId="2AB68B8B">
      <w:pPr>
        <w:keepNext w:val="0"/>
        <w:keepLines w:val="0"/>
        <w:pageBreakBefore w:val="0"/>
        <w:widowControl w:val="0"/>
        <w:tabs>
          <w:tab w:val="left" w:pos="5130"/>
        </w:tabs>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定期更换、更新保洁工具及用品</w:t>
      </w:r>
      <w:r>
        <w:rPr>
          <w:rFonts w:hint="eastAsia" w:ascii="仿宋" w:hAnsi="仿宋" w:eastAsia="仿宋" w:cs="仿宋"/>
          <w:sz w:val="28"/>
          <w:szCs w:val="28"/>
          <w:lang w:eastAsia="zh-CN"/>
        </w:rPr>
        <w:t>。</w:t>
      </w:r>
    </w:p>
    <w:p w14:paraId="2A4FAEAB">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.健全安全应急工作预案，如遇火警、水管爆裂、电力故障、台风袭击、</w:t>
      </w:r>
      <w:r>
        <w:rPr>
          <w:rFonts w:hint="eastAsia" w:ascii="仿宋" w:hAnsi="仿宋" w:eastAsia="仿宋" w:cs="仿宋"/>
          <w:sz w:val="28"/>
          <w:szCs w:val="28"/>
          <w:lang w:val="en-US" w:eastAsia="zh-CN"/>
        </w:rPr>
        <w:t>突发</w:t>
      </w:r>
      <w:r>
        <w:rPr>
          <w:rFonts w:hint="eastAsia" w:ascii="仿宋" w:hAnsi="仿宋" w:eastAsia="仿宋" w:cs="仿宋"/>
          <w:sz w:val="28"/>
          <w:szCs w:val="28"/>
        </w:rPr>
        <w:t>传染病等突发事件，乙方需及时组织应急人员</w:t>
      </w:r>
      <w:r>
        <w:rPr>
          <w:rFonts w:hint="eastAsia" w:ascii="仿宋" w:hAnsi="仿宋" w:eastAsia="仿宋" w:cs="仿宋"/>
          <w:sz w:val="28"/>
          <w:szCs w:val="28"/>
          <w:lang w:val="en-US" w:eastAsia="zh-CN"/>
        </w:rPr>
        <w:t>全力</w:t>
      </w:r>
      <w:r>
        <w:rPr>
          <w:rFonts w:hint="eastAsia" w:ascii="仿宋" w:hAnsi="仿宋" w:eastAsia="仿宋" w:cs="仿宋"/>
          <w:sz w:val="28"/>
          <w:szCs w:val="28"/>
        </w:rPr>
        <w:t>配合学校做好大楼管理、设施设备维护及防疫防控、特殊保洁等工作。根据学校要求</w:t>
      </w:r>
      <w:r>
        <w:rPr>
          <w:rFonts w:hint="eastAsia" w:ascii="仿宋" w:hAnsi="仿宋" w:eastAsia="仿宋" w:cs="仿宋"/>
          <w:sz w:val="28"/>
          <w:szCs w:val="28"/>
          <w:lang w:eastAsia="zh-CN"/>
        </w:rPr>
        <w:t>，</w:t>
      </w:r>
      <w:r>
        <w:rPr>
          <w:rFonts w:hint="eastAsia" w:ascii="仿宋" w:hAnsi="仿宋" w:eastAsia="仿宋" w:cs="仿宋"/>
          <w:sz w:val="28"/>
          <w:szCs w:val="28"/>
        </w:rPr>
        <w:t>配合做好学校全区域</w:t>
      </w:r>
      <w:r>
        <w:rPr>
          <w:rFonts w:hint="eastAsia" w:ascii="仿宋" w:hAnsi="仿宋" w:eastAsia="仿宋" w:cs="仿宋"/>
          <w:sz w:val="28"/>
          <w:szCs w:val="28"/>
          <w:lang w:val="en-US" w:eastAsia="zh-CN"/>
        </w:rPr>
        <w:t>灭四害、</w:t>
      </w:r>
      <w:r>
        <w:rPr>
          <w:rFonts w:hint="eastAsia" w:ascii="仿宋" w:hAnsi="仿宋" w:eastAsia="仿宋" w:cs="仿宋"/>
          <w:sz w:val="28"/>
          <w:szCs w:val="28"/>
        </w:rPr>
        <w:t>消杀</w:t>
      </w:r>
      <w:r>
        <w:rPr>
          <w:rFonts w:hint="eastAsia" w:ascii="仿宋" w:hAnsi="仿宋" w:eastAsia="仿宋" w:cs="仿宋"/>
          <w:sz w:val="28"/>
          <w:szCs w:val="28"/>
          <w:lang w:val="en-US" w:eastAsia="zh-CN"/>
        </w:rPr>
        <w:t>工作</w:t>
      </w:r>
      <w:r>
        <w:rPr>
          <w:rFonts w:hint="eastAsia" w:ascii="仿宋" w:hAnsi="仿宋" w:eastAsia="仿宋" w:cs="仿宋"/>
          <w:sz w:val="28"/>
          <w:szCs w:val="28"/>
        </w:rPr>
        <w:t>、</w:t>
      </w:r>
      <w:r>
        <w:rPr>
          <w:rFonts w:hint="eastAsia" w:ascii="仿宋" w:hAnsi="仿宋" w:eastAsia="仿宋" w:cs="仿宋"/>
          <w:sz w:val="28"/>
          <w:szCs w:val="28"/>
          <w:highlight w:val="none"/>
        </w:rPr>
        <w:t>卫生防疫</w:t>
      </w:r>
      <w:r>
        <w:rPr>
          <w:rFonts w:hint="eastAsia" w:ascii="仿宋" w:hAnsi="仿宋" w:eastAsia="仿宋" w:cs="仿宋"/>
          <w:sz w:val="28"/>
          <w:szCs w:val="28"/>
        </w:rPr>
        <w:t>等服务</w:t>
      </w:r>
      <w:r>
        <w:rPr>
          <w:rFonts w:hint="eastAsia" w:ascii="仿宋" w:hAnsi="仿宋" w:eastAsia="仿宋" w:cs="仿宋"/>
          <w:sz w:val="28"/>
          <w:szCs w:val="28"/>
          <w:lang w:eastAsia="zh-CN"/>
        </w:rPr>
        <w:t>。</w:t>
      </w:r>
    </w:p>
    <w:p w14:paraId="165B8CCD">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做好大楼内部及周边安全管理工作，重点加强大楼外墙粉刷层坠落、水电线路老化、设施设备完好、外来人员管控等方面的日常安全巡查，发现安全隐患与问题需及时上报学校处理，如因乙方排查不到位或信息上报不及时引起的安全责任事故，学校将按有关规定追究服务单位相关责任。</w:t>
      </w:r>
    </w:p>
    <w:p w14:paraId="688D4D72">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color w:val="FF0000"/>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4.应急处置工作：做好防汛、火灾、台风等突发事件的处置工作，一年不得少于两次不同突发事件的应急演练与培训（如防汛、防台、防火等主题）。</w:t>
      </w:r>
    </w:p>
    <w:p w14:paraId="46C53847">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建立节水节电工作机制，乙方需按照学校节约型校园建设要求，做好日常节约用水、用电工作。</w:t>
      </w:r>
    </w:p>
    <w:p w14:paraId="42BC9B3E">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.遇重要来宾到访、各类检查评比等重大活动及学校临时性任务，乙方应增派人员，按学校要求保质保量完成工作</w:t>
      </w:r>
      <w:r>
        <w:rPr>
          <w:rFonts w:hint="eastAsia" w:ascii="仿宋" w:hAnsi="仿宋" w:eastAsia="仿宋" w:cs="仿宋"/>
          <w:sz w:val="28"/>
          <w:szCs w:val="28"/>
          <w:lang w:eastAsia="zh-CN"/>
        </w:rPr>
        <w:t>。</w:t>
      </w:r>
    </w:p>
    <w:p w14:paraId="499FB911">
      <w:pPr>
        <w:keepNext w:val="0"/>
        <w:keepLines w:val="0"/>
        <w:pageBreakBefore w:val="0"/>
        <w:widowControl w:val="0"/>
        <w:kinsoku/>
        <w:wordWrap/>
        <w:overflowPunct/>
        <w:topLinePunct w:val="0"/>
        <w:bidi w:val="0"/>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.完成学校临时交办的其他任务。</w:t>
      </w:r>
    </w:p>
    <w:p w14:paraId="718DD5F2">
      <w:pPr>
        <w:rPr>
          <w:rFonts w:hint="eastAsia" w:ascii="仿宋_GB2312" w:hAnsi="仿宋_GB2312" w:eastAsia="仿宋_GB2312" w:cs="仿宋_GB2312"/>
          <w:b/>
          <w:color w:val="000000" w:themeColor="text1"/>
          <w:sz w:val="28"/>
          <w:szCs w:val="28"/>
          <w:highlight w:val="cyan"/>
          <w14:textFill>
            <w14:solidFill>
              <w14:schemeClr w14:val="tx1"/>
            </w14:solidFill>
          </w14:textFill>
        </w:rPr>
      </w:pPr>
    </w:p>
    <w:p w14:paraId="784B1F17">
      <w:pPr>
        <w:pStyle w:val="4"/>
        <w:spacing w:after="0" w:line="440" w:lineRule="exact"/>
        <w:jc w:val="both"/>
        <w:rPr>
          <w:rFonts w:ascii="仿宋_GB2312" w:hAnsi="仿宋_GB2312" w:eastAsia="仿宋_GB2312" w:cs="仿宋_GB2312"/>
          <w:b/>
          <w:color w:val="000000" w:themeColor="text1"/>
          <w:sz w:val="28"/>
          <w:szCs w:val="28"/>
          <w:highlight w:val="none"/>
          <w14:textFill>
            <w14:solidFill>
              <w14:schemeClr w14:val="tx1"/>
            </w14:solidFill>
          </w14:textFill>
        </w:rPr>
      </w:pPr>
      <w:r>
        <w:rPr>
          <w:rFonts w:hint="eastAsia" w:ascii="仿宋_GB2312" w:hAnsi="仿宋_GB2312" w:eastAsia="仿宋_GB2312" w:cs="仿宋_GB2312"/>
          <w:b/>
          <w:color w:val="000000" w:themeColor="text1"/>
          <w:sz w:val="28"/>
          <w:szCs w:val="28"/>
          <w:highlight w:val="none"/>
          <w14:textFill>
            <w14:solidFill>
              <w14:schemeClr w14:val="tx1"/>
            </w14:solidFill>
          </w14:textFill>
        </w:rPr>
        <w:t>附件</w:t>
      </w:r>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t>2</w:t>
      </w:r>
      <w:r>
        <w:rPr>
          <w:rFonts w:hint="eastAsia" w:ascii="仿宋_GB2312" w:hAnsi="仿宋_GB2312" w:eastAsia="仿宋_GB2312" w:cs="仿宋_GB2312"/>
          <w:b/>
          <w:color w:val="000000" w:themeColor="text1"/>
          <w:sz w:val="28"/>
          <w:szCs w:val="28"/>
          <w:highlight w:val="none"/>
          <w14:textFill>
            <w14:solidFill>
              <w14:schemeClr w14:val="tx1"/>
            </w14:solidFill>
          </w14:textFill>
        </w:rPr>
        <w:t>:</w:t>
      </w:r>
    </w:p>
    <w:p w14:paraId="1495938B">
      <w:pPr>
        <w:pStyle w:val="4"/>
        <w:spacing w:after="0" w:line="400" w:lineRule="exact"/>
        <w:jc w:val="center"/>
        <w:rPr>
          <w:rFonts w:ascii="仿宋_GB2312" w:hAnsi="仿宋_GB2312" w:eastAsia="仿宋_GB2312" w:cs="仿宋_GB2312"/>
          <w:sz w:val="28"/>
          <w:szCs w:val="28"/>
          <w:highlight w:val="none"/>
        </w:rPr>
      </w:pPr>
      <w:r>
        <w:rPr>
          <w:rFonts w:hint="eastAsia" w:ascii="仿宋_GB2312" w:hAnsi="仿宋_GB2312" w:eastAsia="仿宋_GB2312" w:cs="仿宋_GB2312"/>
          <w:b/>
          <w:sz w:val="28"/>
          <w:szCs w:val="28"/>
          <w:highlight w:val="none"/>
        </w:rPr>
        <w:t>湖州师范学院</w:t>
      </w:r>
      <w:r>
        <w:rPr>
          <w:rFonts w:hint="eastAsia" w:ascii="仿宋_GB2312" w:hAnsi="仿宋_GB2312" w:eastAsia="仿宋_GB2312" w:cs="仿宋_GB2312"/>
          <w:b/>
          <w:sz w:val="28"/>
          <w:szCs w:val="28"/>
          <w:highlight w:val="none"/>
          <w:lang w:val="en-US" w:eastAsia="zh-CN"/>
        </w:rPr>
        <w:t>熙培</w:t>
      </w:r>
      <w:r>
        <w:rPr>
          <w:rFonts w:hint="eastAsia" w:ascii="仿宋_GB2312" w:hAnsi="仿宋_GB2312" w:eastAsia="仿宋_GB2312" w:cs="仿宋_GB2312"/>
          <w:b/>
          <w:sz w:val="28"/>
          <w:szCs w:val="28"/>
          <w:highlight w:val="none"/>
        </w:rPr>
        <w:t>专家楼物业管理服务工作考核表</w:t>
      </w:r>
    </w:p>
    <w:tbl>
      <w:tblPr>
        <w:tblStyle w:val="11"/>
        <w:tblW w:w="522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50"/>
        <w:gridCol w:w="2768"/>
        <w:gridCol w:w="3504"/>
        <w:gridCol w:w="723"/>
        <w:gridCol w:w="737"/>
      </w:tblGrid>
      <w:tr w14:paraId="5CD492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426" w:type="dxa"/>
            <w:noWrap/>
            <w:vAlign w:val="center"/>
          </w:tcPr>
          <w:p w14:paraId="7689D991">
            <w:pPr>
              <w:spacing w:line="240" w:lineRule="auto"/>
              <w:jc w:val="both"/>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750" w:type="dxa"/>
            <w:noWrap/>
            <w:vAlign w:val="center"/>
          </w:tcPr>
          <w:p w14:paraId="355134C1">
            <w:pPr>
              <w:tabs>
                <w:tab w:val="left" w:pos="1707"/>
              </w:tabs>
              <w:spacing w:line="240" w:lineRule="auto"/>
              <w:ind w:right="15" w:rightChars="7"/>
              <w:jc w:val="both"/>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管理服务</w:t>
            </w:r>
          </w:p>
        </w:tc>
        <w:tc>
          <w:tcPr>
            <w:tcW w:w="2768" w:type="dxa"/>
            <w:noWrap/>
            <w:vAlign w:val="center"/>
          </w:tcPr>
          <w:p w14:paraId="3630708B">
            <w:pPr>
              <w:spacing w:line="240" w:lineRule="auto"/>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highlight w:val="none"/>
              </w:rPr>
              <w:t>考核标准</w:t>
            </w:r>
          </w:p>
        </w:tc>
        <w:tc>
          <w:tcPr>
            <w:tcW w:w="3504" w:type="dxa"/>
            <w:shd w:val="clear" w:color="auto" w:fill="auto"/>
            <w:noWrap/>
            <w:vAlign w:val="center"/>
          </w:tcPr>
          <w:p w14:paraId="3CABA054">
            <w:pPr>
              <w:spacing w:line="240" w:lineRule="auto"/>
              <w:jc w:val="center"/>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sz w:val="24"/>
                <w:szCs w:val="24"/>
              </w:rPr>
              <w:t>考核</w:t>
            </w:r>
            <w:r>
              <w:rPr>
                <w:rFonts w:hint="eastAsia" w:ascii="仿宋_GB2312" w:hAnsi="仿宋_GB2312" w:eastAsia="仿宋_GB2312" w:cs="仿宋_GB2312"/>
                <w:b/>
                <w:bCs/>
                <w:sz w:val="24"/>
                <w:szCs w:val="24"/>
                <w:lang w:val="en-US" w:eastAsia="zh-CN"/>
              </w:rPr>
              <w:t>细则</w:t>
            </w:r>
          </w:p>
        </w:tc>
        <w:tc>
          <w:tcPr>
            <w:tcW w:w="723" w:type="dxa"/>
            <w:vAlign w:val="center"/>
          </w:tcPr>
          <w:p w14:paraId="410B7A2B">
            <w:pPr>
              <w:spacing w:line="240" w:lineRule="auto"/>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分值</w:t>
            </w:r>
          </w:p>
        </w:tc>
        <w:tc>
          <w:tcPr>
            <w:tcW w:w="737" w:type="dxa"/>
            <w:vAlign w:val="center"/>
          </w:tcPr>
          <w:p w14:paraId="5E04E29B">
            <w:pPr>
              <w:spacing w:line="240" w:lineRule="auto"/>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得分</w:t>
            </w:r>
          </w:p>
        </w:tc>
      </w:tr>
      <w:tr w14:paraId="6A3257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restart"/>
            <w:noWrap/>
            <w:vAlign w:val="center"/>
          </w:tcPr>
          <w:p w14:paraId="30A6BB2A">
            <w:pPr>
              <w:spacing w:line="240" w:lineRule="auto"/>
              <w:jc w:val="both"/>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750" w:type="dxa"/>
            <w:vMerge w:val="restart"/>
            <w:noWrap/>
            <w:vAlign w:val="center"/>
          </w:tcPr>
          <w:p w14:paraId="1E44E4A4">
            <w:pPr>
              <w:spacing w:line="240" w:lineRule="auto"/>
              <w:jc w:val="both"/>
              <w:rPr>
                <w:rFonts w:ascii="仿宋_GB2312" w:hAnsi="仿宋_GB2312" w:eastAsia="仿宋_GB2312" w:cs="仿宋_GB2312"/>
                <w:sz w:val="24"/>
                <w:szCs w:val="24"/>
              </w:rPr>
            </w:pPr>
            <w:r>
              <w:rPr>
                <w:rFonts w:hint="eastAsia" w:ascii="仿宋_GB2312" w:hAnsi="仿宋_GB2312" w:eastAsia="仿宋_GB2312" w:cs="仿宋_GB2312"/>
                <w:sz w:val="24"/>
                <w:szCs w:val="24"/>
              </w:rPr>
              <w:t>整体管理要求</w:t>
            </w:r>
          </w:p>
        </w:tc>
        <w:tc>
          <w:tcPr>
            <w:tcW w:w="2768" w:type="dxa"/>
            <w:noWrap/>
            <w:vAlign w:val="center"/>
          </w:tcPr>
          <w:p w14:paraId="3BCB6C88">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做好</w:t>
            </w:r>
            <w:r>
              <w:rPr>
                <w:rFonts w:hint="eastAsia" w:ascii="仿宋_GB2312" w:hAnsi="仿宋_GB2312" w:eastAsia="仿宋_GB2312" w:cs="仿宋_GB2312"/>
                <w:color w:val="000000" w:themeColor="text1"/>
                <w:sz w:val="24"/>
                <w:szCs w:val="24"/>
                <w14:textFill>
                  <w14:solidFill>
                    <w14:schemeClr w14:val="tx1"/>
                  </w14:solidFill>
                </w14:textFill>
              </w:rPr>
              <w:t>日常管理</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服务</w:t>
            </w:r>
            <w:r>
              <w:rPr>
                <w:rFonts w:hint="eastAsia" w:ascii="仿宋_GB2312" w:hAnsi="仿宋_GB2312" w:eastAsia="仿宋_GB2312" w:cs="仿宋_GB2312"/>
                <w:color w:val="000000" w:themeColor="text1"/>
                <w:sz w:val="24"/>
                <w:szCs w:val="24"/>
                <w14:textFill>
                  <w14:solidFill>
                    <w14:schemeClr w14:val="tx1"/>
                  </w14:solidFill>
                </w14:textFill>
              </w:rPr>
              <w:t>工作台账</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并填写规范</w:t>
            </w:r>
          </w:p>
        </w:tc>
        <w:tc>
          <w:tcPr>
            <w:tcW w:w="3504" w:type="dxa"/>
            <w:shd w:val="clear" w:color="auto" w:fill="auto"/>
            <w:noWrap/>
            <w:vAlign w:val="center"/>
          </w:tcPr>
          <w:p w14:paraId="22E671BE">
            <w:pPr>
              <w:spacing w:line="240" w:lineRule="auto"/>
              <w:jc w:val="both"/>
              <w:rPr>
                <w:rFonts w:hint="default"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不能提供相关台账的，扣3分；填写不规范，有漏项，扣1分。</w:t>
            </w:r>
          </w:p>
        </w:tc>
        <w:tc>
          <w:tcPr>
            <w:tcW w:w="723" w:type="dxa"/>
            <w:vAlign w:val="center"/>
          </w:tcPr>
          <w:p w14:paraId="1090BE57">
            <w:pPr>
              <w:spacing w:line="240" w:lineRule="auto"/>
              <w:jc w:val="center"/>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w:t>
            </w:r>
          </w:p>
        </w:tc>
        <w:tc>
          <w:tcPr>
            <w:tcW w:w="737" w:type="dxa"/>
            <w:vAlign w:val="center"/>
          </w:tcPr>
          <w:p w14:paraId="188EDF95">
            <w:pPr>
              <w:spacing w:line="240" w:lineRule="auto"/>
              <w:jc w:val="both"/>
              <w:rPr>
                <w:rFonts w:hint="eastAsia" w:ascii="仿宋_GB2312" w:hAnsi="仿宋_GB2312" w:eastAsia="仿宋_GB2312" w:cs="仿宋_GB2312"/>
                <w:sz w:val="24"/>
                <w:szCs w:val="24"/>
                <w:lang w:val="en-US" w:eastAsia="zh-CN"/>
              </w:rPr>
            </w:pPr>
          </w:p>
        </w:tc>
      </w:tr>
      <w:tr w14:paraId="715410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64922FC1">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21ED1B3E">
            <w:pPr>
              <w:spacing w:line="240" w:lineRule="auto"/>
              <w:jc w:val="both"/>
              <w:rPr>
                <w:rFonts w:ascii="仿宋_GB2312" w:hAnsi="仿宋_GB2312" w:eastAsia="仿宋_GB2312" w:cs="仿宋_GB2312"/>
                <w:sz w:val="24"/>
                <w:szCs w:val="24"/>
              </w:rPr>
            </w:pPr>
          </w:p>
        </w:tc>
        <w:tc>
          <w:tcPr>
            <w:tcW w:w="2768" w:type="dxa"/>
            <w:noWrap/>
            <w:vAlign w:val="center"/>
          </w:tcPr>
          <w:p w14:paraId="37F5494B">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如实、规范做好</w:t>
            </w:r>
            <w:r>
              <w:rPr>
                <w:rFonts w:hint="eastAsia" w:ascii="仿宋_GB2312" w:hAnsi="仿宋_GB2312" w:eastAsia="仿宋_GB2312" w:cs="仿宋_GB2312"/>
                <w:color w:val="000000" w:themeColor="text1"/>
                <w:sz w:val="24"/>
                <w:szCs w:val="24"/>
                <w14:textFill>
                  <w14:solidFill>
                    <w14:schemeClr w14:val="tx1"/>
                  </w14:solidFill>
                </w14:textFill>
              </w:rPr>
              <w:t>安全工作记录</w:t>
            </w:r>
          </w:p>
        </w:tc>
        <w:tc>
          <w:tcPr>
            <w:tcW w:w="3504" w:type="dxa"/>
            <w:shd w:val="clear" w:color="auto" w:fill="auto"/>
            <w:noWrap/>
            <w:vAlign w:val="center"/>
          </w:tcPr>
          <w:p w14:paraId="306BC23A">
            <w:pPr>
              <w:spacing w:line="240" w:lineRule="auto"/>
              <w:jc w:val="both"/>
              <w:rPr>
                <w:rFonts w:hint="eastAsia" w:ascii="仿宋_GB2312" w:hAnsi="仿宋_GB2312" w:eastAsia="仿宋_GB2312" w:cs="仿宋_GB2312"/>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不能提供相关台账的，扣3分；填写不规范，有漏项，扣1分。</w:t>
            </w:r>
          </w:p>
        </w:tc>
        <w:tc>
          <w:tcPr>
            <w:tcW w:w="723" w:type="dxa"/>
            <w:vAlign w:val="center"/>
          </w:tcPr>
          <w:p w14:paraId="35CBDBBA">
            <w:pPr>
              <w:spacing w:line="240" w:lineRule="auto"/>
              <w:jc w:val="center"/>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w:t>
            </w:r>
          </w:p>
        </w:tc>
        <w:tc>
          <w:tcPr>
            <w:tcW w:w="737" w:type="dxa"/>
            <w:vAlign w:val="center"/>
          </w:tcPr>
          <w:p w14:paraId="1193DC4E">
            <w:pPr>
              <w:spacing w:line="240" w:lineRule="auto"/>
              <w:jc w:val="both"/>
              <w:rPr>
                <w:rFonts w:hint="eastAsia" w:ascii="仿宋_GB2312" w:hAnsi="仿宋_GB2312" w:eastAsia="仿宋_GB2312" w:cs="仿宋_GB2312"/>
                <w:sz w:val="24"/>
                <w:szCs w:val="24"/>
                <w:lang w:val="en-US" w:eastAsia="zh-CN"/>
              </w:rPr>
            </w:pPr>
          </w:p>
        </w:tc>
      </w:tr>
      <w:tr w14:paraId="6F5C58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639B793D">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05A5F54E">
            <w:pPr>
              <w:spacing w:line="240" w:lineRule="auto"/>
              <w:jc w:val="both"/>
              <w:rPr>
                <w:rFonts w:ascii="仿宋_GB2312" w:hAnsi="仿宋_GB2312" w:eastAsia="仿宋_GB2312" w:cs="仿宋_GB2312"/>
                <w:sz w:val="24"/>
                <w:szCs w:val="24"/>
              </w:rPr>
            </w:pPr>
          </w:p>
        </w:tc>
        <w:tc>
          <w:tcPr>
            <w:tcW w:w="2768" w:type="dxa"/>
            <w:noWrap/>
            <w:vAlign w:val="center"/>
          </w:tcPr>
          <w:p w14:paraId="0937251B">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及时</w:t>
            </w:r>
            <w:r>
              <w:rPr>
                <w:rFonts w:hint="eastAsia" w:ascii="仿宋_GB2312" w:hAnsi="仿宋_GB2312" w:eastAsia="仿宋_GB2312" w:cs="仿宋_GB2312"/>
                <w:color w:val="000000" w:themeColor="text1"/>
                <w:sz w:val="24"/>
                <w:szCs w:val="24"/>
                <w14:textFill>
                  <w14:solidFill>
                    <w14:schemeClr w14:val="tx1"/>
                  </w14:solidFill>
                </w14:textFill>
              </w:rPr>
              <w:t>发现存在安全隐患、安全措施不到位</w:t>
            </w:r>
          </w:p>
        </w:tc>
        <w:tc>
          <w:tcPr>
            <w:tcW w:w="3504" w:type="dxa"/>
            <w:noWrap/>
            <w:vAlign w:val="center"/>
          </w:tcPr>
          <w:p w14:paraId="515E1195">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因未及时发现</w:t>
            </w:r>
            <w:r>
              <w:rPr>
                <w:rFonts w:hint="eastAsia" w:ascii="仿宋_GB2312" w:hAnsi="仿宋_GB2312" w:eastAsia="仿宋_GB2312" w:cs="仿宋_GB2312"/>
                <w:color w:val="000000" w:themeColor="text1"/>
                <w:sz w:val="24"/>
                <w:szCs w:val="24"/>
                <w14:textFill>
                  <w14:solidFill>
                    <w14:schemeClr w14:val="tx1"/>
                  </w14:solidFill>
                </w14:textFill>
              </w:rPr>
              <w:t>安全隐患、安全措施</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造成安全事故，扣10分</w:t>
            </w:r>
          </w:p>
        </w:tc>
        <w:tc>
          <w:tcPr>
            <w:tcW w:w="723" w:type="dxa"/>
            <w:vAlign w:val="center"/>
          </w:tcPr>
          <w:p w14:paraId="55611456">
            <w:pPr>
              <w:spacing w:line="240" w:lineRule="auto"/>
              <w:jc w:val="center"/>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10</w:t>
            </w:r>
          </w:p>
        </w:tc>
        <w:tc>
          <w:tcPr>
            <w:tcW w:w="737" w:type="dxa"/>
            <w:vAlign w:val="center"/>
          </w:tcPr>
          <w:p w14:paraId="1292E001">
            <w:pPr>
              <w:spacing w:line="240" w:lineRule="auto"/>
              <w:jc w:val="both"/>
              <w:rPr>
                <w:rFonts w:hint="default" w:ascii="仿宋_GB2312" w:hAnsi="仿宋_GB2312" w:eastAsia="仿宋_GB2312" w:cs="仿宋_GB2312"/>
                <w:sz w:val="24"/>
                <w:szCs w:val="24"/>
                <w:lang w:val="en-US" w:eastAsia="zh-CN"/>
              </w:rPr>
            </w:pPr>
          </w:p>
        </w:tc>
      </w:tr>
      <w:tr w14:paraId="0C3E77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2AF910A3">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58FE1C9C">
            <w:pPr>
              <w:spacing w:line="240" w:lineRule="auto"/>
              <w:jc w:val="both"/>
              <w:rPr>
                <w:rFonts w:ascii="仿宋_GB2312" w:hAnsi="仿宋_GB2312" w:eastAsia="仿宋_GB2312" w:cs="仿宋_GB2312"/>
                <w:sz w:val="24"/>
                <w:szCs w:val="24"/>
              </w:rPr>
            </w:pPr>
          </w:p>
        </w:tc>
        <w:tc>
          <w:tcPr>
            <w:tcW w:w="2768" w:type="dxa"/>
            <w:noWrap/>
            <w:vAlign w:val="center"/>
          </w:tcPr>
          <w:p w14:paraId="16BC8A7F">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未发生因管理</w:t>
            </w:r>
            <w:r>
              <w:rPr>
                <w:rFonts w:hint="eastAsia" w:ascii="仿宋_GB2312" w:hAnsi="仿宋_GB2312" w:eastAsia="仿宋_GB2312" w:cs="仿宋_GB2312"/>
                <w:color w:val="000000" w:themeColor="text1"/>
                <w:spacing w:val="-8"/>
                <w:sz w:val="24"/>
                <w:szCs w:val="24"/>
                <w14:textFill>
                  <w14:solidFill>
                    <w14:schemeClr w14:val="tx1"/>
                  </w14:solidFill>
                </w14:textFill>
              </w:rPr>
              <w:t>或服务责任造成的安全事故</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或较大范围影响的群体性事件</w:t>
            </w:r>
          </w:p>
        </w:tc>
        <w:tc>
          <w:tcPr>
            <w:tcW w:w="3504" w:type="dxa"/>
            <w:noWrap/>
            <w:vAlign w:val="center"/>
          </w:tcPr>
          <w:p w14:paraId="45C2B601">
            <w:pPr>
              <w:spacing w:line="240" w:lineRule="auto"/>
              <w:jc w:val="both"/>
              <w:rPr>
                <w:rFonts w:hint="default" w:ascii="仿宋_GB2312" w:hAnsi="仿宋_GB2312" w:eastAsia="仿宋_GB2312" w:cs="仿宋_GB2312"/>
                <w:color w:val="000000" w:themeColor="text1"/>
                <w:spacing w:val="-8"/>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发生因</w:t>
            </w:r>
            <w:r>
              <w:rPr>
                <w:rFonts w:hint="eastAsia" w:ascii="仿宋_GB2312" w:hAnsi="仿宋_GB2312" w:eastAsia="仿宋_GB2312" w:cs="仿宋_GB2312"/>
                <w:color w:val="000000" w:themeColor="text1"/>
                <w:spacing w:val="-8"/>
                <w:sz w:val="24"/>
                <w:szCs w:val="24"/>
                <w14:textFill>
                  <w14:solidFill>
                    <w14:schemeClr w14:val="tx1"/>
                  </w14:solidFill>
                </w14:textFill>
              </w:rPr>
              <w:t>服务提供方或服务人员责任造成的安全事故</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或较大范围影响的群体性事件</w:t>
            </w:r>
            <w:r>
              <w:rPr>
                <w:rFonts w:hint="eastAsia" w:ascii="仿宋_GB2312" w:hAnsi="仿宋_GB2312" w:eastAsia="仿宋_GB2312" w:cs="仿宋_GB2312"/>
                <w:color w:val="000000" w:themeColor="text1"/>
                <w:spacing w:val="-8"/>
                <w:sz w:val="24"/>
                <w:szCs w:val="24"/>
                <w:highlight w:val="none"/>
                <w:lang w:val="en-US" w:eastAsia="zh-CN"/>
                <w14:textFill>
                  <w14:solidFill>
                    <w14:schemeClr w14:val="tx1"/>
                  </w14:solidFill>
                </w14:textFill>
              </w:rPr>
              <w:t>，扣20分</w:t>
            </w:r>
          </w:p>
        </w:tc>
        <w:tc>
          <w:tcPr>
            <w:tcW w:w="723" w:type="dxa"/>
            <w:vAlign w:val="center"/>
          </w:tcPr>
          <w:p w14:paraId="6F5A9199">
            <w:pPr>
              <w:spacing w:line="240" w:lineRule="auto"/>
              <w:jc w:val="center"/>
              <w:rPr>
                <w:rFonts w:hint="default" w:ascii="仿宋_GB2312" w:hAnsi="仿宋_GB2312" w:eastAsia="仿宋_GB2312" w:cs="仿宋_GB2312"/>
                <w:color w:val="000000" w:themeColor="text1"/>
                <w:spacing w:val="-8"/>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20</w:t>
            </w:r>
          </w:p>
        </w:tc>
        <w:tc>
          <w:tcPr>
            <w:tcW w:w="737" w:type="dxa"/>
            <w:vAlign w:val="center"/>
          </w:tcPr>
          <w:p w14:paraId="373F6225">
            <w:pPr>
              <w:spacing w:line="240" w:lineRule="auto"/>
              <w:jc w:val="both"/>
              <w:rPr>
                <w:rFonts w:hint="default" w:ascii="仿宋_GB2312" w:hAnsi="仿宋_GB2312" w:eastAsia="仿宋_GB2312" w:cs="仿宋_GB2312"/>
                <w:sz w:val="24"/>
                <w:szCs w:val="24"/>
                <w:lang w:val="en-US" w:eastAsia="zh-CN"/>
              </w:rPr>
            </w:pPr>
          </w:p>
        </w:tc>
      </w:tr>
      <w:tr w14:paraId="0B850D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57142023">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4CD9DF61">
            <w:pPr>
              <w:spacing w:line="240" w:lineRule="auto"/>
              <w:jc w:val="both"/>
              <w:rPr>
                <w:rFonts w:ascii="仿宋_GB2312" w:hAnsi="仿宋_GB2312" w:eastAsia="仿宋_GB2312" w:cs="仿宋_GB2312"/>
                <w:sz w:val="24"/>
                <w:szCs w:val="24"/>
              </w:rPr>
            </w:pPr>
          </w:p>
        </w:tc>
        <w:tc>
          <w:tcPr>
            <w:tcW w:w="2768" w:type="dxa"/>
            <w:noWrap/>
            <w:vAlign w:val="center"/>
          </w:tcPr>
          <w:p w14:paraId="78F3AB44">
            <w:pPr>
              <w:spacing w:line="240" w:lineRule="auto"/>
              <w:jc w:val="both"/>
              <w:rPr>
                <w:rFonts w:hint="default" w:ascii="仿宋_GB2312" w:hAnsi="仿宋_GB2312" w:eastAsia="仿宋_GB2312" w:cs="仿宋_GB2312"/>
                <w:color w:val="000000" w:themeColor="text1"/>
                <w:sz w:val="24"/>
                <w:szCs w:val="24"/>
                <w:lang w:val="en-US"/>
                <w14:textFill>
                  <w14:solidFill>
                    <w14:schemeClr w14:val="tx1"/>
                  </w14:solidFill>
                </w14:textFill>
              </w:rPr>
            </w:pP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未违反合同约定的其它方面</w:t>
            </w:r>
          </w:p>
        </w:tc>
        <w:tc>
          <w:tcPr>
            <w:tcW w:w="3504" w:type="dxa"/>
            <w:noWrap/>
            <w:vAlign w:val="center"/>
          </w:tcPr>
          <w:p w14:paraId="168E28DD">
            <w:pPr>
              <w:spacing w:line="240" w:lineRule="auto"/>
              <w:jc w:val="both"/>
              <w:rPr>
                <w:rFonts w:hint="default" w:ascii="仿宋_GB2312" w:hAnsi="仿宋_GB2312" w:eastAsia="仿宋_GB2312" w:cs="仿宋_GB2312"/>
                <w:color w:val="000000" w:themeColor="text1"/>
                <w:spacing w:val="-8"/>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违反合同约定的其它方面，扣3分</w:t>
            </w:r>
          </w:p>
        </w:tc>
        <w:tc>
          <w:tcPr>
            <w:tcW w:w="723" w:type="dxa"/>
            <w:vAlign w:val="center"/>
          </w:tcPr>
          <w:p w14:paraId="4EC35588">
            <w:pPr>
              <w:spacing w:line="240" w:lineRule="auto"/>
              <w:jc w:val="center"/>
              <w:rPr>
                <w:rFonts w:hint="default" w:ascii="仿宋_GB2312" w:hAnsi="仿宋_GB2312" w:eastAsia="仿宋_GB2312" w:cs="仿宋_GB2312"/>
                <w:color w:val="000000" w:themeColor="text1"/>
                <w:spacing w:val="-8"/>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3</w:t>
            </w:r>
          </w:p>
        </w:tc>
        <w:tc>
          <w:tcPr>
            <w:tcW w:w="737" w:type="dxa"/>
            <w:vAlign w:val="center"/>
          </w:tcPr>
          <w:p w14:paraId="22EC0DEF">
            <w:pPr>
              <w:spacing w:line="240" w:lineRule="auto"/>
              <w:jc w:val="both"/>
              <w:rPr>
                <w:rFonts w:hint="eastAsia" w:ascii="仿宋_GB2312" w:hAnsi="仿宋_GB2312" w:eastAsia="仿宋_GB2312" w:cs="仿宋_GB2312"/>
                <w:sz w:val="24"/>
                <w:szCs w:val="24"/>
                <w:lang w:val="en-US" w:eastAsia="zh-CN"/>
              </w:rPr>
            </w:pPr>
          </w:p>
        </w:tc>
      </w:tr>
      <w:tr w14:paraId="43C3D6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26" w:type="dxa"/>
            <w:vMerge w:val="restart"/>
            <w:noWrap/>
            <w:vAlign w:val="center"/>
          </w:tcPr>
          <w:p w14:paraId="2D7DFDC6">
            <w:pPr>
              <w:spacing w:line="240" w:lineRule="auto"/>
              <w:jc w:val="both"/>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750" w:type="dxa"/>
            <w:vMerge w:val="restart"/>
            <w:noWrap/>
            <w:vAlign w:val="center"/>
          </w:tcPr>
          <w:p w14:paraId="54380D9B">
            <w:pPr>
              <w:spacing w:line="240" w:lineRule="auto"/>
              <w:jc w:val="both"/>
              <w:rPr>
                <w:rFonts w:ascii="仿宋_GB2312" w:hAnsi="仿宋_GB2312" w:eastAsia="仿宋_GB2312" w:cs="仿宋_GB2312"/>
                <w:sz w:val="24"/>
                <w:szCs w:val="24"/>
              </w:rPr>
            </w:pPr>
            <w:r>
              <w:rPr>
                <w:rFonts w:hint="eastAsia" w:ascii="仿宋_GB2312" w:hAnsi="仿宋_GB2312" w:eastAsia="仿宋_GB2312" w:cs="仿宋_GB2312"/>
                <w:sz w:val="24"/>
                <w:szCs w:val="24"/>
              </w:rPr>
              <w:t>室内外</w:t>
            </w:r>
          </w:p>
          <w:p w14:paraId="45D9A60A">
            <w:pPr>
              <w:spacing w:line="240" w:lineRule="auto"/>
              <w:jc w:val="both"/>
              <w:rPr>
                <w:rFonts w:ascii="仿宋_GB2312" w:hAnsi="仿宋_GB2312" w:eastAsia="仿宋_GB2312" w:cs="仿宋_GB2312"/>
                <w:sz w:val="24"/>
                <w:szCs w:val="24"/>
              </w:rPr>
            </w:pPr>
            <w:r>
              <w:rPr>
                <w:rFonts w:hint="eastAsia" w:ascii="仿宋_GB2312" w:hAnsi="仿宋_GB2312" w:eastAsia="仿宋_GB2312" w:cs="仿宋_GB2312"/>
                <w:sz w:val="24"/>
                <w:szCs w:val="24"/>
              </w:rPr>
              <w:t>保洁服务</w:t>
            </w:r>
          </w:p>
        </w:tc>
        <w:tc>
          <w:tcPr>
            <w:tcW w:w="2768" w:type="dxa"/>
            <w:noWrap/>
            <w:vAlign w:val="center"/>
          </w:tcPr>
          <w:p w14:paraId="41263D68">
            <w:pPr>
              <w:spacing w:line="240" w:lineRule="auto"/>
              <w:jc w:val="both"/>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8"/>
                <w:sz w:val="24"/>
                <w:szCs w:val="24"/>
                <w14:textFill>
                  <w14:solidFill>
                    <w14:schemeClr w14:val="tx1"/>
                  </w14:solidFill>
                </w14:textFill>
              </w:rPr>
              <w:t>保洁范围内</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无</w:t>
            </w:r>
            <w:r>
              <w:rPr>
                <w:rFonts w:hint="eastAsia" w:ascii="仿宋_GB2312" w:hAnsi="仿宋_GB2312" w:eastAsia="仿宋_GB2312" w:cs="仿宋_GB2312"/>
                <w:color w:val="000000" w:themeColor="text1"/>
                <w:spacing w:val="-8"/>
                <w:sz w:val="24"/>
                <w:szCs w:val="24"/>
                <w14:textFill>
                  <w14:solidFill>
                    <w14:schemeClr w14:val="tx1"/>
                  </w14:solidFill>
                </w14:textFill>
              </w:rPr>
              <w:t>污迹、积尘、痰迹、蜘蛛网、烟蒂、纸屑、生活垃圾、楼宇公共区域内废弃物</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等</w:t>
            </w:r>
          </w:p>
        </w:tc>
        <w:tc>
          <w:tcPr>
            <w:tcW w:w="3504" w:type="dxa"/>
            <w:noWrap/>
            <w:vAlign w:val="center"/>
          </w:tcPr>
          <w:p w14:paraId="193218A6">
            <w:pPr>
              <w:spacing w:line="240" w:lineRule="auto"/>
              <w:jc w:val="both"/>
              <w:rPr>
                <w:rFonts w:hint="default" w:ascii="仿宋_GB2312" w:hAnsi="仿宋_GB2312" w:eastAsia="仿宋_GB2312" w:cs="仿宋_GB2312"/>
                <w:color w:val="000000" w:themeColor="text1"/>
                <w:sz w:val="24"/>
                <w:szCs w:val="24"/>
                <w:lang w:val="en-US"/>
                <w14:textFill>
                  <w14:solidFill>
                    <w14:schemeClr w14:val="tx1"/>
                  </w14:solidFill>
                </w14:textFill>
              </w:rPr>
            </w:pPr>
            <w:r>
              <w:rPr>
                <w:rFonts w:hint="eastAsia" w:ascii="仿宋_GB2312" w:hAnsi="仿宋_GB2312" w:eastAsia="仿宋_GB2312" w:cs="仿宋_GB2312"/>
                <w:color w:val="000000" w:themeColor="text1"/>
                <w:spacing w:val="-8"/>
                <w:sz w:val="24"/>
                <w:szCs w:val="24"/>
                <w14:textFill>
                  <w14:solidFill>
                    <w14:schemeClr w14:val="tx1"/>
                  </w14:solidFill>
                </w14:textFill>
              </w:rPr>
              <w:t>保洁范围内</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发现有</w:t>
            </w:r>
            <w:r>
              <w:rPr>
                <w:rFonts w:hint="eastAsia" w:ascii="仿宋_GB2312" w:hAnsi="仿宋_GB2312" w:eastAsia="仿宋_GB2312" w:cs="仿宋_GB2312"/>
                <w:color w:val="000000" w:themeColor="text1"/>
                <w:spacing w:val="-8"/>
                <w:sz w:val="24"/>
                <w:szCs w:val="24"/>
                <w14:textFill>
                  <w14:solidFill>
                    <w14:schemeClr w14:val="tx1"/>
                  </w14:solidFill>
                </w14:textFill>
              </w:rPr>
              <w:t>污迹、积尘、痰迹、蜘蛛网、烟蒂、纸屑、生活垃圾、楼宇公共区域内废弃物</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等，每发现一处，扣0.5分</w:t>
            </w:r>
          </w:p>
        </w:tc>
        <w:tc>
          <w:tcPr>
            <w:tcW w:w="723" w:type="dxa"/>
            <w:vAlign w:val="center"/>
          </w:tcPr>
          <w:p w14:paraId="72F1BFE3">
            <w:pPr>
              <w:spacing w:line="240" w:lineRule="auto"/>
              <w:jc w:val="cente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5</w:t>
            </w:r>
          </w:p>
        </w:tc>
        <w:tc>
          <w:tcPr>
            <w:tcW w:w="737" w:type="dxa"/>
            <w:vAlign w:val="center"/>
          </w:tcPr>
          <w:p w14:paraId="458D7842">
            <w:pPr>
              <w:spacing w:line="240" w:lineRule="auto"/>
              <w:jc w:val="both"/>
              <w:rPr>
                <w:rFonts w:hint="eastAsia" w:ascii="仿宋_GB2312" w:hAnsi="仿宋_GB2312" w:eastAsia="仿宋_GB2312" w:cs="仿宋_GB2312"/>
                <w:sz w:val="24"/>
                <w:szCs w:val="24"/>
                <w:lang w:val="en-US" w:eastAsia="zh-CN"/>
              </w:rPr>
            </w:pPr>
          </w:p>
        </w:tc>
      </w:tr>
      <w:tr w14:paraId="71ECB4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38390F28">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5CAA3530">
            <w:pPr>
              <w:spacing w:line="240" w:lineRule="auto"/>
              <w:jc w:val="both"/>
              <w:rPr>
                <w:rFonts w:ascii="仿宋_GB2312" w:hAnsi="仿宋_GB2312" w:eastAsia="仿宋_GB2312" w:cs="仿宋_GB2312"/>
                <w:sz w:val="24"/>
                <w:szCs w:val="24"/>
              </w:rPr>
            </w:pPr>
          </w:p>
        </w:tc>
        <w:tc>
          <w:tcPr>
            <w:tcW w:w="2768" w:type="dxa"/>
            <w:noWrap/>
            <w:vAlign w:val="center"/>
          </w:tcPr>
          <w:p w14:paraId="638BA89D">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公共区域地面、墙面</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无</w:t>
            </w:r>
            <w:r>
              <w:rPr>
                <w:rFonts w:hint="eastAsia" w:ascii="仿宋_GB2312" w:hAnsi="仿宋_GB2312" w:eastAsia="仿宋_GB2312" w:cs="仿宋_GB2312"/>
                <w:color w:val="000000" w:themeColor="text1"/>
                <w:sz w:val="24"/>
                <w:szCs w:val="24"/>
                <w14:textFill>
                  <w14:solidFill>
                    <w14:schemeClr w14:val="tx1"/>
                  </w14:solidFill>
                </w14:textFill>
              </w:rPr>
              <w:t>积水和污垢</w:t>
            </w:r>
          </w:p>
        </w:tc>
        <w:tc>
          <w:tcPr>
            <w:tcW w:w="3504" w:type="dxa"/>
            <w:noWrap/>
            <w:vAlign w:val="center"/>
          </w:tcPr>
          <w:p w14:paraId="2F8145F1">
            <w:pPr>
              <w:spacing w:line="240" w:lineRule="auto"/>
              <w:jc w:val="both"/>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公共区域地面、墙面</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存在</w:t>
            </w:r>
            <w:r>
              <w:rPr>
                <w:rFonts w:hint="eastAsia" w:ascii="仿宋_GB2312" w:hAnsi="仿宋_GB2312" w:eastAsia="仿宋_GB2312" w:cs="仿宋_GB2312"/>
                <w:color w:val="000000" w:themeColor="text1"/>
                <w:sz w:val="24"/>
                <w:szCs w:val="24"/>
                <w14:textFill>
                  <w14:solidFill>
                    <w14:schemeClr w14:val="tx1"/>
                  </w14:solidFill>
                </w14:textFill>
              </w:rPr>
              <w:t>积水和污垢</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每发现一处，扣0.5分</w:t>
            </w:r>
          </w:p>
        </w:tc>
        <w:tc>
          <w:tcPr>
            <w:tcW w:w="723" w:type="dxa"/>
            <w:vAlign w:val="center"/>
          </w:tcPr>
          <w:p w14:paraId="6B6D5F1F">
            <w:pPr>
              <w:spacing w:line="240" w:lineRule="auto"/>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w:t>
            </w:r>
          </w:p>
        </w:tc>
        <w:tc>
          <w:tcPr>
            <w:tcW w:w="737" w:type="dxa"/>
            <w:vAlign w:val="center"/>
          </w:tcPr>
          <w:p w14:paraId="48F847FD">
            <w:pPr>
              <w:spacing w:line="240" w:lineRule="auto"/>
              <w:jc w:val="both"/>
              <w:rPr>
                <w:rFonts w:hint="eastAsia" w:ascii="仿宋_GB2312" w:hAnsi="仿宋_GB2312" w:eastAsia="仿宋_GB2312" w:cs="仿宋_GB2312"/>
                <w:sz w:val="24"/>
                <w:szCs w:val="24"/>
                <w:lang w:val="en-US" w:eastAsia="zh-CN"/>
              </w:rPr>
            </w:pPr>
          </w:p>
        </w:tc>
      </w:tr>
      <w:tr w14:paraId="4E6128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7DDE202F">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341F68E3">
            <w:pPr>
              <w:spacing w:line="240" w:lineRule="auto"/>
              <w:jc w:val="both"/>
              <w:rPr>
                <w:rFonts w:ascii="仿宋_GB2312" w:hAnsi="仿宋_GB2312" w:eastAsia="仿宋_GB2312" w:cs="仿宋_GB2312"/>
                <w:sz w:val="24"/>
                <w:szCs w:val="24"/>
              </w:rPr>
            </w:pPr>
          </w:p>
        </w:tc>
        <w:tc>
          <w:tcPr>
            <w:tcW w:w="2768" w:type="dxa"/>
            <w:noWrap/>
            <w:vAlign w:val="center"/>
          </w:tcPr>
          <w:p w14:paraId="5EEED4A3">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公共区域墙面、天花板、门窗</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无</w:t>
            </w:r>
            <w:r>
              <w:rPr>
                <w:rFonts w:hint="eastAsia" w:ascii="仿宋_GB2312" w:hAnsi="仿宋_GB2312" w:eastAsia="仿宋_GB2312" w:cs="仿宋_GB2312"/>
                <w:color w:val="000000" w:themeColor="text1"/>
                <w:sz w:val="24"/>
                <w:szCs w:val="24"/>
                <w14:textFill>
                  <w14:solidFill>
                    <w14:schemeClr w14:val="tx1"/>
                  </w14:solidFill>
                </w14:textFill>
              </w:rPr>
              <w:t>乱涂乱画、蛛网、污迹等</w:t>
            </w:r>
          </w:p>
        </w:tc>
        <w:tc>
          <w:tcPr>
            <w:tcW w:w="3504" w:type="dxa"/>
            <w:noWrap/>
            <w:vAlign w:val="center"/>
          </w:tcPr>
          <w:p w14:paraId="6CF70BE2">
            <w:pPr>
              <w:spacing w:line="240" w:lineRule="auto"/>
              <w:jc w:val="both"/>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公共区域墙面、天花板、门窗</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存在</w:t>
            </w:r>
            <w:r>
              <w:rPr>
                <w:rFonts w:hint="eastAsia" w:ascii="仿宋_GB2312" w:hAnsi="仿宋_GB2312" w:eastAsia="仿宋_GB2312" w:cs="仿宋_GB2312"/>
                <w:color w:val="000000" w:themeColor="text1"/>
                <w:sz w:val="24"/>
                <w:szCs w:val="24"/>
                <w14:textFill>
                  <w14:solidFill>
                    <w14:schemeClr w14:val="tx1"/>
                  </w14:solidFill>
                </w14:textFill>
              </w:rPr>
              <w:t>乱涂乱画、蛛网、污迹等</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每发现一处，扣0.5分</w:t>
            </w:r>
          </w:p>
        </w:tc>
        <w:tc>
          <w:tcPr>
            <w:tcW w:w="723" w:type="dxa"/>
            <w:vAlign w:val="center"/>
          </w:tcPr>
          <w:p w14:paraId="2A0E80D8">
            <w:pPr>
              <w:spacing w:line="240" w:lineRule="auto"/>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w:t>
            </w:r>
          </w:p>
        </w:tc>
        <w:tc>
          <w:tcPr>
            <w:tcW w:w="737" w:type="dxa"/>
            <w:vAlign w:val="center"/>
          </w:tcPr>
          <w:p w14:paraId="47D2663D">
            <w:pPr>
              <w:spacing w:line="240" w:lineRule="auto"/>
              <w:jc w:val="both"/>
              <w:rPr>
                <w:rFonts w:hint="eastAsia" w:ascii="仿宋_GB2312" w:hAnsi="仿宋_GB2312" w:eastAsia="仿宋_GB2312" w:cs="仿宋_GB2312"/>
                <w:sz w:val="24"/>
                <w:szCs w:val="24"/>
                <w:lang w:val="en-US" w:eastAsia="zh-CN"/>
              </w:rPr>
            </w:pPr>
          </w:p>
        </w:tc>
      </w:tr>
      <w:tr w14:paraId="049282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426" w:type="dxa"/>
            <w:vMerge w:val="continue"/>
            <w:noWrap/>
            <w:vAlign w:val="center"/>
          </w:tcPr>
          <w:p w14:paraId="1EA72E6A">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448C9480">
            <w:pPr>
              <w:spacing w:line="240" w:lineRule="auto"/>
              <w:jc w:val="both"/>
              <w:rPr>
                <w:rFonts w:ascii="仿宋_GB2312" w:hAnsi="仿宋_GB2312" w:eastAsia="仿宋_GB2312" w:cs="仿宋_GB2312"/>
                <w:sz w:val="24"/>
                <w:szCs w:val="24"/>
              </w:rPr>
            </w:pPr>
          </w:p>
        </w:tc>
        <w:tc>
          <w:tcPr>
            <w:tcW w:w="2768" w:type="dxa"/>
            <w:noWrap/>
            <w:vAlign w:val="center"/>
          </w:tcPr>
          <w:p w14:paraId="238A81F4">
            <w:pPr>
              <w:spacing w:line="240" w:lineRule="auto"/>
              <w:jc w:val="both"/>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室内外</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垃圾桶</w:t>
            </w:r>
            <w:r>
              <w:rPr>
                <w:rFonts w:hint="eastAsia" w:ascii="仿宋_GB2312" w:hAnsi="仿宋_GB2312" w:eastAsia="仿宋_GB2312" w:cs="仿宋_GB2312"/>
                <w:color w:val="000000" w:themeColor="text1"/>
                <w:sz w:val="24"/>
                <w:szCs w:val="24"/>
                <w14:textFill>
                  <w14:solidFill>
                    <w14:schemeClr w14:val="tx1"/>
                  </w14:solidFill>
                </w14:textFill>
              </w:rPr>
              <w:t>及时</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清理</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未出现</w:t>
            </w:r>
            <w:r>
              <w:rPr>
                <w:rFonts w:hint="eastAsia" w:ascii="仿宋_GB2312" w:hAnsi="仿宋_GB2312" w:eastAsia="仿宋_GB2312" w:cs="仿宋_GB2312"/>
                <w:color w:val="000000" w:themeColor="text1"/>
                <w:sz w:val="24"/>
                <w:szCs w:val="24"/>
                <w14:textFill>
                  <w14:solidFill>
                    <w14:schemeClr w14:val="tx1"/>
                  </w14:solidFill>
                </w14:textFill>
              </w:rPr>
              <w:t>浸溢，外观脏乱，摆放不整齐、箱体、顶盖、桶身不洁净、有异味和破损</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情况</w:t>
            </w:r>
          </w:p>
        </w:tc>
        <w:tc>
          <w:tcPr>
            <w:tcW w:w="3504" w:type="dxa"/>
            <w:noWrap/>
            <w:vAlign w:val="center"/>
          </w:tcPr>
          <w:p w14:paraId="78B3A9D7">
            <w:pPr>
              <w:spacing w:line="240" w:lineRule="auto"/>
              <w:jc w:val="both"/>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室内外</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垃圾桶未</w:t>
            </w:r>
            <w:r>
              <w:rPr>
                <w:rFonts w:hint="eastAsia" w:ascii="仿宋_GB2312" w:hAnsi="仿宋_GB2312" w:eastAsia="仿宋_GB2312" w:cs="仿宋_GB2312"/>
                <w:color w:val="000000" w:themeColor="text1"/>
                <w:sz w:val="24"/>
                <w:szCs w:val="24"/>
                <w14:textFill>
                  <w14:solidFill>
                    <w14:schemeClr w14:val="tx1"/>
                  </w14:solidFill>
                </w14:textFill>
              </w:rPr>
              <w:t>及时</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清理</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出现</w:t>
            </w:r>
            <w:r>
              <w:rPr>
                <w:rFonts w:hint="eastAsia" w:ascii="仿宋_GB2312" w:hAnsi="仿宋_GB2312" w:eastAsia="仿宋_GB2312" w:cs="仿宋_GB2312"/>
                <w:color w:val="000000" w:themeColor="text1"/>
                <w:sz w:val="24"/>
                <w:szCs w:val="24"/>
                <w14:textFill>
                  <w14:solidFill>
                    <w14:schemeClr w14:val="tx1"/>
                  </w14:solidFill>
                </w14:textFill>
              </w:rPr>
              <w:t>浸溢，外观脏乱，摆放不整齐、箱体、顶盖、桶身不洁净、有异味和破损</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情况，</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每发现一处，扣0.5分</w:t>
            </w:r>
          </w:p>
        </w:tc>
        <w:tc>
          <w:tcPr>
            <w:tcW w:w="723" w:type="dxa"/>
            <w:vAlign w:val="center"/>
          </w:tcPr>
          <w:p w14:paraId="35F84F5A">
            <w:pPr>
              <w:spacing w:line="240" w:lineRule="auto"/>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w:t>
            </w:r>
          </w:p>
        </w:tc>
        <w:tc>
          <w:tcPr>
            <w:tcW w:w="737" w:type="dxa"/>
            <w:vAlign w:val="center"/>
          </w:tcPr>
          <w:p w14:paraId="6AE0B126">
            <w:pPr>
              <w:spacing w:line="240" w:lineRule="auto"/>
              <w:jc w:val="both"/>
              <w:rPr>
                <w:rFonts w:hint="eastAsia" w:ascii="仿宋_GB2312" w:hAnsi="仿宋_GB2312" w:eastAsia="仿宋_GB2312" w:cs="仿宋_GB2312"/>
                <w:sz w:val="24"/>
                <w:szCs w:val="24"/>
                <w:lang w:val="en-US" w:eastAsia="zh-CN"/>
              </w:rPr>
            </w:pPr>
          </w:p>
        </w:tc>
      </w:tr>
      <w:tr w14:paraId="28476F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5D751440">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746D6172">
            <w:pPr>
              <w:spacing w:line="240" w:lineRule="auto"/>
              <w:jc w:val="both"/>
              <w:rPr>
                <w:rFonts w:ascii="仿宋_GB2312" w:hAnsi="仿宋_GB2312" w:eastAsia="仿宋_GB2312" w:cs="仿宋_GB2312"/>
                <w:sz w:val="24"/>
                <w:szCs w:val="24"/>
              </w:rPr>
            </w:pPr>
          </w:p>
        </w:tc>
        <w:tc>
          <w:tcPr>
            <w:tcW w:w="2768" w:type="dxa"/>
            <w:noWrap/>
            <w:vAlign w:val="center"/>
          </w:tcPr>
          <w:p w14:paraId="6B50DFE8">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洗衣房等公共空间地面</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无</w:t>
            </w:r>
            <w:r>
              <w:rPr>
                <w:rFonts w:hint="eastAsia" w:ascii="仿宋_GB2312" w:hAnsi="仿宋_GB2312" w:eastAsia="仿宋_GB2312" w:cs="仿宋_GB2312"/>
                <w:color w:val="000000" w:themeColor="text1"/>
                <w:sz w:val="24"/>
                <w:szCs w:val="24"/>
                <w14:textFill>
                  <w14:solidFill>
                    <w14:schemeClr w14:val="tx1"/>
                  </w14:solidFill>
                </w14:textFill>
              </w:rPr>
              <w:t>积水、洗衣机表面</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无</w:t>
            </w:r>
            <w:r>
              <w:rPr>
                <w:rFonts w:hint="eastAsia" w:ascii="仿宋_GB2312" w:hAnsi="仿宋_GB2312" w:eastAsia="仿宋_GB2312" w:cs="仿宋_GB2312"/>
                <w:color w:val="000000" w:themeColor="text1"/>
                <w:sz w:val="24"/>
                <w:szCs w:val="24"/>
                <w14:textFill>
                  <w14:solidFill>
                    <w14:schemeClr w14:val="tx1"/>
                  </w14:solidFill>
                </w14:textFill>
              </w:rPr>
              <w:t>污迹、积尘</w:t>
            </w:r>
          </w:p>
        </w:tc>
        <w:tc>
          <w:tcPr>
            <w:tcW w:w="3504" w:type="dxa"/>
            <w:noWrap/>
            <w:vAlign w:val="center"/>
          </w:tcPr>
          <w:p w14:paraId="0F24CFF4">
            <w:pPr>
              <w:spacing w:line="240" w:lineRule="auto"/>
              <w:jc w:val="both"/>
              <w:rPr>
                <w:rFonts w:hint="eastAsia" w:ascii="仿宋_GB2312" w:hAnsi="仿宋_GB2312" w:eastAsia="仿宋_GB2312" w:cs="仿宋_GB2312"/>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洗衣房等公共空间地面</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存在</w:t>
            </w:r>
            <w:r>
              <w:rPr>
                <w:rFonts w:hint="eastAsia" w:ascii="仿宋_GB2312" w:hAnsi="仿宋_GB2312" w:eastAsia="仿宋_GB2312" w:cs="仿宋_GB2312"/>
                <w:color w:val="000000" w:themeColor="text1"/>
                <w:sz w:val="24"/>
                <w:szCs w:val="24"/>
                <w14:textFill>
                  <w14:solidFill>
                    <w14:schemeClr w14:val="tx1"/>
                  </w14:solidFill>
                </w14:textFill>
              </w:rPr>
              <w:t>积水、洗衣机表面</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有</w:t>
            </w:r>
            <w:r>
              <w:rPr>
                <w:rFonts w:hint="eastAsia" w:ascii="仿宋_GB2312" w:hAnsi="仿宋_GB2312" w:eastAsia="仿宋_GB2312" w:cs="仿宋_GB2312"/>
                <w:color w:val="000000" w:themeColor="text1"/>
                <w:sz w:val="24"/>
                <w:szCs w:val="24"/>
                <w14:textFill>
                  <w14:solidFill>
                    <w14:schemeClr w14:val="tx1"/>
                  </w14:solidFill>
                </w14:textFill>
              </w:rPr>
              <w:t>污迹、积尘</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pacing w:val="-8"/>
                <w:sz w:val="24"/>
                <w:szCs w:val="24"/>
                <w:lang w:val="en-US" w:eastAsia="zh-CN"/>
                <w14:textFill>
                  <w14:solidFill>
                    <w14:schemeClr w14:val="tx1"/>
                  </w14:solidFill>
                </w14:textFill>
              </w:rPr>
              <w:t>每发现一处，扣0.5分</w:t>
            </w:r>
          </w:p>
        </w:tc>
        <w:tc>
          <w:tcPr>
            <w:tcW w:w="723" w:type="dxa"/>
            <w:vAlign w:val="center"/>
          </w:tcPr>
          <w:p w14:paraId="1AB9000E">
            <w:pPr>
              <w:spacing w:line="240" w:lineRule="auto"/>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w:t>
            </w:r>
          </w:p>
        </w:tc>
        <w:tc>
          <w:tcPr>
            <w:tcW w:w="737" w:type="dxa"/>
            <w:vAlign w:val="center"/>
          </w:tcPr>
          <w:p w14:paraId="73E54943">
            <w:pPr>
              <w:spacing w:line="240" w:lineRule="auto"/>
              <w:jc w:val="both"/>
              <w:rPr>
                <w:rFonts w:hint="eastAsia" w:ascii="仿宋_GB2312" w:hAnsi="仿宋_GB2312" w:eastAsia="仿宋_GB2312" w:cs="仿宋_GB2312"/>
                <w:sz w:val="24"/>
                <w:szCs w:val="24"/>
                <w:lang w:val="en-US" w:eastAsia="zh-CN"/>
              </w:rPr>
            </w:pPr>
          </w:p>
        </w:tc>
      </w:tr>
      <w:tr w14:paraId="6CD087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0A447F02">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2311404B">
            <w:pPr>
              <w:spacing w:line="240" w:lineRule="auto"/>
              <w:jc w:val="both"/>
              <w:rPr>
                <w:rFonts w:ascii="仿宋_GB2312" w:hAnsi="仿宋_GB2312" w:eastAsia="仿宋_GB2312" w:cs="仿宋_GB2312"/>
                <w:sz w:val="24"/>
                <w:szCs w:val="24"/>
              </w:rPr>
            </w:pPr>
          </w:p>
        </w:tc>
        <w:tc>
          <w:tcPr>
            <w:tcW w:w="2768" w:type="dxa"/>
            <w:noWrap/>
            <w:vAlign w:val="center"/>
          </w:tcPr>
          <w:p w14:paraId="304839CA">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在规定时间内完成整体清扫</w:t>
            </w:r>
          </w:p>
        </w:tc>
        <w:tc>
          <w:tcPr>
            <w:tcW w:w="3504" w:type="dxa"/>
            <w:noWrap/>
            <w:vAlign w:val="center"/>
          </w:tcPr>
          <w:p w14:paraId="6F0DB9A7">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未在</w:t>
            </w:r>
            <w:r>
              <w:rPr>
                <w:rFonts w:hint="eastAsia" w:ascii="仿宋_GB2312" w:hAnsi="仿宋_GB2312" w:eastAsia="仿宋_GB2312" w:cs="仿宋_GB2312"/>
                <w:color w:val="000000" w:themeColor="text1"/>
                <w:sz w:val="24"/>
                <w:szCs w:val="24"/>
                <w14:textFill>
                  <w14:solidFill>
                    <w14:schemeClr w14:val="tx1"/>
                  </w14:solidFill>
                </w14:textFill>
              </w:rPr>
              <w:t>规定时间内完成整体清扫</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扣3分</w:t>
            </w:r>
          </w:p>
        </w:tc>
        <w:tc>
          <w:tcPr>
            <w:tcW w:w="723" w:type="dxa"/>
            <w:vAlign w:val="center"/>
          </w:tcPr>
          <w:p w14:paraId="53F74871">
            <w:pPr>
              <w:spacing w:line="240" w:lineRule="auto"/>
              <w:jc w:val="center"/>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w:t>
            </w:r>
          </w:p>
        </w:tc>
        <w:tc>
          <w:tcPr>
            <w:tcW w:w="737" w:type="dxa"/>
            <w:vAlign w:val="center"/>
          </w:tcPr>
          <w:p w14:paraId="2405315F">
            <w:pPr>
              <w:spacing w:line="240" w:lineRule="auto"/>
              <w:jc w:val="both"/>
              <w:rPr>
                <w:rFonts w:ascii="仿宋_GB2312" w:hAnsi="仿宋_GB2312" w:eastAsia="仿宋_GB2312" w:cs="仿宋_GB2312"/>
                <w:sz w:val="24"/>
                <w:szCs w:val="24"/>
              </w:rPr>
            </w:pPr>
          </w:p>
        </w:tc>
      </w:tr>
      <w:tr w14:paraId="79AEFE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7DBB67CE">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3FE32909">
            <w:pPr>
              <w:spacing w:line="240" w:lineRule="auto"/>
              <w:jc w:val="both"/>
              <w:rPr>
                <w:rFonts w:ascii="仿宋_GB2312" w:hAnsi="仿宋_GB2312" w:eastAsia="仿宋_GB2312" w:cs="仿宋_GB2312"/>
                <w:sz w:val="24"/>
                <w:szCs w:val="24"/>
              </w:rPr>
            </w:pPr>
          </w:p>
        </w:tc>
        <w:tc>
          <w:tcPr>
            <w:tcW w:w="2768" w:type="dxa"/>
            <w:noWrap/>
            <w:vAlign w:val="center"/>
          </w:tcPr>
          <w:p w14:paraId="7B336073">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在规定时间内</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有</w:t>
            </w:r>
            <w:r>
              <w:rPr>
                <w:rFonts w:hint="eastAsia" w:ascii="仿宋_GB2312" w:hAnsi="仿宋_GB2312" w:eastAsia="仿宋_GB2312" w:cs="仿宋_GB2312"/>
                <w:color w:val="000000" w:themeColor="text1"/>
                <w:sz w:val="24"/>
                <w:szCs w:val="24"/>
                <w14:textFill>
                  <w14:solidFill>
                    <w14:schemeClr w14:val="tx1"/>
                  </w14:solidFill>
                </w14:textFill>
              </w:rPr>
              <w:t>巡回清扫人员</w:t>
            </w:r>
          </w:p>
        </w:tc>
        <w:tc>
          <w:tcPr>
            <w:tcW w:w="3504" w:type="dxa"/>
            <w:noWrap/>
            <w:vAlign w:val="center"/>
          </w:tcPr>
          <w:p w14:paraId="1BB5BEAC">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在规定时间内</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未发现有</w:t>
            </w:r>
            <w:r>
              <w:rPr>
                <w:rFonts w:hint="eastAsia" w:ascii="仿宋_GB2312" w:hAnsi="仿宋_GB2312" w:eastAsia="仿宋_GB2312" w:cs="仿宋_GB2312"/>
                <w:color w:val="000000" w:themeColor="text1"/>
                <w:sz w:val="24"/>
                <w:szCs w:val="24"/>
                <w14:textFill>
                  <w14:solidFill>
                    <w14:schemeClr w14:val="tx1"/>
                  </w14:solidFill>
                </w14:textFill>
              </w:rPr>
              <w:t>巡回清扫人员</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扣2分</w:t>
            </w:r>
          </w:p>
        </w:tc>
        <w:tc>
          <w:tcPr>
            <w:tcW w:w="723" w:type="dxa"/>
            <w:vAlign w:val="center"/>
          </w:tcPr>
          <w:p w14:paraId="3CE176FD">
            <w:pPr>
              <w:spacing w:line="240" w:lineRule="auto"/>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w:t>
            </w:r>
          </w:p>
        </w:tc>
        <w:tc>
          <w:tcPr>
            <w:tcW w:w="737" w:type="dxa"/>
            <w:vAlign w:val="center"/>
          </w:tcPr>
          <w:p w14:paraId="497B3048">
            <w:pPr>
              <w:spacing w:line="240" w:lineRule="auto"/>
              <w:jc w:val="both"/>
              <w:rPr>
                <w:rFonts w:ascii="仿宋_GB2312" w:hAnsi="仿宋_GB2312" w:eastAsia="仿宋_GB2312" w:cs="仿宋_GB2312"/>
                <w:sz w:val="24"/>
                <w:szCs w:val="24"/>
              </w:rPr>
            </w:pPr>
          </w:p>
        </w:tc>
      </w:tr>
      <w:tr w14:paraId="0B5ED9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0BECC3D3">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22812BC0">
            <w:pPr>
              <w:spacing w:line="240" w:lineRule="auto"/>
              <w:jc w:val="both"/>
              <w:rPr>
                <w:rFonts w:ascii="仿宋_GB2312" w:hAnsi="仿宋_GB2312" w:eastAsia="仿宋_GB2312" w:cs="仿宋_GB2312"/>
                <w:sz w:val="24"/>
                <w:szCs w:val="24"/>
              </w:rPr>
            </w:pPr>
          </w:p>
        </w:tc>
        <w:tc>
          <w:tcPr>
            <w:tcW w:w="2768" w:type="dxa"/>
            <w:noWrap/>
            <w:vAlign w:val="center"/>
          </w:tcPr>
          <w:p w14:paraId="53ED3655">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保洁工具使用完毕后按要求存放</w:t>
            </w:r>
          </w:p>
        </w:tc>
        <w:tc>
          <w:tcPr>
            <w:tcW w:w="3504" w:type="dxa"/>
            <w:noWrap/>
            <w:vAlign w:val="center"/>
          </w:tcPr>
          <w:p w14:paraId="670D1A44">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保洁工具使用完毕后</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未</w:t>
            </w:r>
            <w:r>
              <w:rPr>
                <w:rFonts w:hint="eastAsia" w:ascii="仿宋_GB2312" w:hAnsi="仿宋_GB2312" w:eastAsia="仿宋_GB2312" w:cs="仿宋_GB2312"/>
                <w:color w:val="000000" w:themeColor="text1"/>
                <w:sz w:val="24"/>
                <w:szCs w:val="24"/>
                <w14:textFill>
                  <w14:solidFill>
                    <w14:schemeClr w14:val="tx1"/>
                  </w14:solidFill>
                </w14:textFill>
              </w:rPr>
              <w:t>按要求存放</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在指定位置，扣1分</w:t>
            </w:r>
          </w:p>
        </w:tc>
        <w:tc>
          <w:tcPr>
            <w:tcW w:w="723" w:type="dxa"/>
            <w:vAlign w:val="center"/>
          </w:tcPr>
          <w:p w14:paraId="1057B343">
            <w:pPr>
              <w:spacing w:line="240" w:lineRule="auto"/>
              <w:jc w:val="center"/>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w:t>
            </w:r>
          </w:p>
        </w:tc>
        <w:tc>
          <w:tcPr>
            <w:tcW w:w="737" w:type="dxa"/>
            <w:vAlign w:val="center"/>
          </w:tcPr>
          <w:p w14:paraId="513F68D3">
            <w:pPr>
              <w:spacing w:line="240" w:lineRule="auto"/>
              <w:jc w:val="both"/>
              <w:rPr>
                <w:rFonts w:ascii="仿宋_GB2312" w:hAnsi="仿宋_GB2312" w:eastAsia="仿宋_GB2312" w:cs="仿宋_GB2312"/>
                <w:sz w:val="24"/>
                <w:szCs w:val="24"/>
              </w:rPr>
            </w:pPr>
          </w:p>
        </w:tc>
      </w:tr>
      <w:tr w14:paraId="022814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restart"/>
            <w:noWrap/>
            <w:vAlign w:val="center"/>
          </w:tcPr>
          <w:p w14:paraId="15FA1B94">
            <w:pPr>
              <w:spacing w:line="240" w:lineRule="auto"/>
              <w:jc w:val="both"/>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750" w:type="dxa"/>
            <w:vMerge w:val="restart"/>
            <w:noWrap/>
            <w:vAlign w:val="center"/>
          </w:tcPr>
          <w:p w14:paraId="40C5910E">
            <w:pPr>
              <w:spacing w:line="240" w:lineRule="auto"/>
              <w:jc w:val="both"/>
              <w:rPr>
                <w:rFonts w:ascii="仿宋_GB2312" w:hAnsi="仿宋_GB2312" w:eastAsia="仿宋_GB2312" w:cs="仿宋_GB2312"/>
                <w:sz w:val="24"/>
                <w:szCs w:val="24"/>
              </w:rPr>
            </w:pPr>
            <w:r>
              <w:rPr>
                <w:rFonts w:hint="eastAsia" w:ascii="仿宋_GB2312" w:hAnsi="仿宋_GB2312" w:eastAsia="仿宋_GB2312" w:cs="仿宋_GB2312"/>
                <w:sz w:val="24"/>
                <w:szCs w:val="24"/>
              </w:rPr>
              <w:t>员工管理</w:t>
            </w:r>
          </w:p>
        </w:tc>
        <w:tc>
          <w:tcPr>
            <w:tcW w:w="2768" w:type="dxa"/>
            <w:noWrap/>
            <w:vAlign w:val="center"/>
          </w:tcPr>
          <w:p w14:paraId="6593994C">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员工</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身</w:t>
            </w:r>
            <w:r>
              <w:rPr>
                <w:rFonts w:hint="eastAsia" w:ascii="仿宋_GB2312" w:hAnsi="仿宋_GB2312" w:eastAsia="仿宋_GB2312" w:cs="仿宋_GB2312"/>
                <w:color w:val="000000" w:themeColor="text1"/>
                <w:sz w:val="24"/>
                <w:szCs w:val="24"/>
                <w14:textFill>
                  <w14:solidFill>
                    <w14:schemeClr w14:val="tx1"/>
                  </w14:solidFill>
                </w14:textFill>
              </w:rPr>
              <w:t>着工装上岗</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穿戴</w:t>
            </w:r>
            <w:r>
              <w:rPr>
                <w:rFonts w:hint="eastAsia" w:ascii="仿宋_GB2312" w:hAnsi="仿宋_GB2312" w:eastAsia="仿宋_GB2312" w:cs="仿宋_GB2312"/>
                <w:color w:val="000000" w:themeColor="text1"/>
                <w:sz w:val="24"/>
                <w:szCs w:val="24"/>
                <w14:textFill>
                  <w14:solidFill>
                    <w14:schemeClr w14:val="tx1"/>
                  </w14:solidFill>
                </w14:textFill>
              </w:rPr>
              <w:t>整齐</w:t>
            </w:r>
          </w:p>
        </w:tc>
        <w:tc>
          <w:tcPr>
            <w:tcW w:w="3504" w:type="dxa"/>
            <w:noWrap/>
            <w:vAlign w:val="center"/>
          </w:tcPr>
          <w:p w14:paraId="27401B4D">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员工</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未身</w:t>
            </w:r>
            <w:r>
              <w:rPr>
                <w:rFonts w:hint="eastAsia" w:ascii="仿宋_GB2312" w:hAnsi="仿宋_GB2312" w:eastAsia="仿宋_GB2312" w:cs="仿宋_GB2312"/>
                <w:color w:val="000000" w:themeColor="text1"/>
                <w:sz w:val="24"/>
                <w:szCs w:val="24"/>
                <w14:textFill>
                  <w14:solidFill>
                    <w14:schemeClr w14:val="tx1"/>
                  </w14:solidFill>
                </w14:textFill>
              </w:rPr>
              <w:t>着工装上岗</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穿戴不</w:t>
            </w:r>
            <w:r>
              <w:rPr>
                <w:rFonts w:hint="eastAsia" w:ascii="仿宋_GB2312" w:hAnsi="仿宋_GB2312" w:eastAsia="仿宋_GB2312" w:cs="仿宋_GB2312"/>
                <w:color w:val="000000" w:themeColor="text1"/>
                <w:sz w:val="24"/>
                <w:szCs w:val="24"/>
                <w14:textFill>
                  <w14:solidFill>
                    <w14:schemeClr w14:val="tx1"/>
                  </w14:solidFill>
                </w14:textFill>
              </w:rPr>
              <w:t>整齐</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发现一人，扣2分</w:t>
            </w:r>
          </w:p>
        </w:tc>
        <w:tc>
          <w:tcPr>
            <w:tcW w:w="723" w:type="dxa"/>
            <w:vAlign w:val="center"/>
          </w:tcPr>
          <w:p w14:paraId="20414D44">
            <w:pPr>
              <w:spacing w:line="240" w:lineRule="auto"/>
              <w:jc w:val="center"/>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w:t>
            </w:r>
          </w:p>
        </w:tc>
        <w:tc>
          <w:tcPr>
            <w:tcW w:w="737" w:type="dxa"/>
            <w:vAlign w:val="center"/>
          </w:tcPr>
          <w:p w14:paraId="5BE1C639">
            <w:pPr>
              <w:spacing w:line="240" w:lineRule="auto"/>
              <w:jc w:val="both"/>
              <w:rPr>
                <w:rFonts w:ascii="仿宋_GB2312" w:hAnsi="仿宋_GB2312" w:eastAsia="仿宋_GB2312" w:cs="仿宋_GB2312"/>
                <w:sz w:val="24"/>
                <w:szCs w:val="24"/>
              </w:rPr>
            </w:pPr>
          </w:p>
        </w:tc>
      </w:tr>
      <w:tr w14:paraId="1AB767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733C7459">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7B620FD4">
            <w:pPr>
              <w:spacing w:line="240" w:lineRule="auto"/>
              <w:jc w:val="both"/>
              <w:rPr>
                <w:rFonts w:ascii="仿宋_GB2312" w:hAnsi="仿宋_GB2312" w:eastAsia="仿宋_GB2312" w:cs="仿宋_GB2312"/>
                <w:sz w:val="24"/>
                <w:szCs w:val="24"/>
              </w:rPr>
            </w:pPr>
          </w:p>
        </w:tc>
        <w:tc>
          <w:tcPr>
            <w:tcW w:w="2768" w:type="dxa"/>
            <w:noWrap/>
            <w:vAlign w:val="center"/>
          </w:tcPr>
          <w:p w14:paraId="71F90181">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能提供</w:t>
            </w:r>
            <w:r>
              <w:rPr>
                <w:rFonts w:hint="eastAsia" w:ascii="仿宋_GB2312" w:hAnsi="仿宋_GB2312" w:eastAsia="仿宋_GB2312" w:cs="仿宋_GB2312"/>
                <w:color w:val="000000" w:themeColor="text1"/>
                <w:sz w:val="24"/>
                <w:szCs w:val="24"/>
                <w14:textFill>
                  <w14:solidFill>
                    <w14:schemeClr w14:val="tx1"/>
                  </w14:solidFill>
                </w14:textFill>
              </w:rPr>
              <w:t>工作、培训计划</w:t>
            </w:r>
          </w:p>
        </w:tc>
        <w:tc>
          <w:tcPr>
            <w:tcW w:w="3504" w:type="dxa"/>
            <w:noWrap/>
            <w:vAlign w:val="center"/>
          </w:tcPr>
          <w:p w14:paraId="2A8716EB">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未能提供</w:t>
            </w:r>
            <w:r>
              <w:rPr>
                <w:rFonts w:hint="eastAsia" w:ascii="仿宋_GB2312" w:hAnsi="仿宋_GB2312" w:eastAsia="仿宋_GB2312" w:cs="仿宋_GB2312"/>
                <w:color w:val="000000" w:themeColor="text1"/>
                <w:sz w:val="24"/>
                <w:szCs w:val="24"/>
                <w14:textFill>
                  <w14:solidFill>
                    <w14:schemeClr w14:val="tx1"/>
                  </w14:solidFill>
                </w14:textFill>
              </w:rPr>
              <w:t>工作、培训计划</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缺少一项，扣2分</w:t>
            </w:r>
          </w:p>
        </w:tc>
        <w:tc>
          <w:tcPr>
            <w:tcW w:w="723" w:type="dxa"/>
            <w:vAlign w:val="center"/>
          </w:tcPr>
          <w:p w14:paraId="04AF774C">
            <w:pPr>
              <w:spacing w:line="240" w:lineRule="auto"/>
              <w:jc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w:t>
            </w:r>
          </w:p>
        </w:tc>
        <w:tc>
          <w:tcPr>
            <w:tcW w:w="737" w:type="dxa"/>
            <w:vAlign w:val="center"/>
          </w:tcPr>
          <w:p w14:paraId="04773A63">
            <w:pPr>
              <w:spacing w:line="240" w:lineRule="auto"/>
              <w:jc w:val="both"/>
              <w:rPr>
                <w:rFonts w:ascii="仿宋_GB2312" w:hAnsi="仿宋_GB2312" w:eastAsia="仿宋_GB2312" w:cs="仿宋_GB2312"/>
                <w:sz w:val="24"/>
                <w:szCs w:val="24"/>
              </w:rPr>
            </w:pPr>
          </w:p>
        </w:tc>
      </w:tr>
      <w:tr w14:paraId="349352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7E407FB6">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469A6495">
            <w:pPr>
              <w:spacing w:line="240" w:lineRule="auto"/>
              <w:jc w:val="both"/>
              <w:rPr>
                <w:rFonts w:ascii="仿宋_GB2312" w:hAnsi="仿宋_GB2312" w:eastAsia="仿宋_GB2312" w:cs="仿宋_GB2312"/>
                <w:sz w:val="24"/>
                <w:szCs w:val="24"/>
              </w:rPr>
            </w:pPr>
          </w:p>
        </w:tc>
        <w:tc>
          <w:tcPr>
            <w:tcW w:w="2768" w:type="dxa"/>
            <w:noWrap/>
            <w:vAlign w:val="center"/>
          </w:tcPr>
          <w:p w14:paraId="63EC81D5">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未</w:t>
            </w:r>
            <w:r>
              <w:rPr>
                <w:rFonts w:hint="eastAsia" w:ascii="仿宋_GB2312" w:hAnsi="仿宋_GB2312" w:eastAsia="仿宋_GB2312" w:cs="仿宋_GB2312"/>
                <w:color w:val="000000" w:themeColor="text1"/>
                <w:sz w:val="24"/>
                <w:szCs w:val="24"/>
                <w14:textFill>
                  <w14:solidFill>
                    <w14:schemeClr w14:val="tx1"/>
                  </w14:solidFill>
                </w14:textFill>
              </w:rPr>
              <w:t>违反</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员工</w:t>
            </w:r>
            <w:r>
              <w:rPr>
                <w:rFonts w:hint="eastAsia" w:ascii="仿宋_GB2312" w:hAnsi="仿宋_GB2312" w:eastAsia="仿宋_GB2312" w:cs="仿宋_GB2312"/>
                <w:color w:val="000000" w:themeColor="text1"/>
                <w:sz w:val="24"/>
                <w:szCs w:val="24"/>
                <w14:textFill>
                  <w14:solidFill>
                    <w14:schemeClr w14:val="tx1"/>
                  </w14:solidFill>
                </w14:textFill>
              </w:rPr>
              <w:t>值班要求</w:t>
            </w:r>
          </w:p>
        </w:tc>
        <w:tc>
          <w:tcPr>
            <w:tcW w:w="3504" w:type="dxa"/>
            <w:noWrap/>
            <w:vAlign w:val="center"/>
          </w:tcPr>
          <w:p w14:paraId="090CDFD2">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违反</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员工</w:t>
            </w:r>
            <w:r>
              <w:rPr>
                <w:rFonts w:hint="eastAsia" w:ascii="仿宋_GB2312" w:hAnsi="仿宋_GB2312" w:eastAsia="仿宋_GB2312" w:cs="仿宋_GB2312"/>
                <w:color w:val="000000" w:themeColor="text1"/>
                <w:sz w:val="24"/>
                <w:szCs w:val="24"/>
                <w14:textFill>
                  <w14:solidFill>
                    <w14:schemeClr w14:val="tx1"/>
                  </w14:solidFill>
                </w14:textFill>
              </w:rPr>
              <w:t>值班要求</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发现一次，扣2分</w:t>
            </w:r>
          </w:p>
        </w:tc>
        <w:tc>
          <w:tcPr>
            <w:tcW w:w="723" w:type="dxa"/>
            <w:vAlign w:val="center"/>
          </w:tcPr>
          <w:p w14:paraId="2445F637">
            <w:pPr>
              <w:spacing w:line="240" w:lineRule="auto"/>
              <w:jc w:val="center"/>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10</w:t>
            </w:r>
          </w:p>
        </w:tc>
        <w:tc>
          <w:tcPr>
            <w:tcW w:w="737" w:type="dxa"/>
            <w:vAlign w:val="center"/>
          </w:tcPr>
          <w:p w14:paraId="632A2019">
            <w:pPr>
              <w:spacing w:line="240" w:lineRule="auto"/>
              <w:jc w:val="both"/>
              <w:rPr>
                <w:rFonts w:ascii="仿宋_GB2312" w:hAnsi="仿宋_GB2312" w:eastAsia="仿宋_GB2312" w:cs="仿宋_GB2312"/>
                <w:sz w:val="24"/>
                <w:szCs w:val="24"/>
              </w:rPr>
            </w:pPr>
          </w:p>
        </w:tc>
      </w:tr>
      <w:tr w14:paraId="0D5AEF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426" w:type="dxa"/>
            <w:vMerge w:val="continue"/>
            <w:noWrap/>
            <w:vAlign w:val="center"/>
          </w:tcPr>
          <w:p w14:paraId="45F3C96E">
            <w:pPr>
              <w:spacing w:line="240" w:lineRule="auto"/>
              <w:jc w:val="both"/>
              <w:rPr>
                <w:rFonts w:ascii="仿宋_GB2312" w:hAnsi="仿宋_GB2312" w:eastAsia="仿宋_GB2312" w:cs="仿宋_GB2312"/>
                <w:sz w:val="24"/>
                <w:szCs w:val="24"/>
              </w:rPr>
            </w:pPr>
          </w:p>
        </w:tc>
        <w:tc>
          <w:tcPr>
            <w:tcW w:w="750" w:type="dxa"/>
            <w:vMerge w:val="continue"/>
            <w:noWrap/>
            <w:vAlign w:val="center"/>
          </w:tcPr>
          <w:p w14:paraId="627BD2F1">
            <w:pPr>
              <w:spacing w:line="240" w:lineRule="auto"/>
              <w:jc w:val="both"/>
              <w:rPr>
                <w:rFonts w:ascii="仿宋_GB2312" w:hAnsi="仿宋_GB2312" w:eastAsia="仿宋_GB2312" w:cs="仿宋_GB2312"/>
                <w:sz w:val="24"/>
                <w:szCs w:val="24"/>
              </w:rPr>
            </w:pPr>
          </w:p>
        </w:tc>
        <w:tc>
          <w:tcPr>
            <w:tcW w:w="2768" w:type="dxa"/>
            <w:noWrap/>
            <w:vAlign w:val="center"/>
          </w:tcPr>
          <w:p w14:paraId="48E0FE2D">
            <w:pPr>
              <w:spacing w:line="240" w:lineRule="auto"/>
              <w:jc w:val="both"/>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员工在休息间或值班室</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未</w:t>
            </w:r>
            <w:r>
              <w:rPr>
                <w:rFonts w:hint="eastAsia" w:ascii="仿宋_GB2312" w:hAnsi="仿宋_GB2312" w:eastAsia="仿宋_GB2312" w:cs="仿宋_GB2312"/>
                <w:color w:val="000000" w:themeColor="text1"/>
                <w:sz w:val="24"/>
                <w:szCs w:val="24"/>
                <w14:textFill>
                  <w14:solidFill>
                    <w14:schemeClr w14:val="tx1"/>
                  </w14:solidFill>
                </w14:textFill>
              </w:rPr>
              <w:t>使用违章电器</w:t>
            </w:r>
          </w:p>
        </w:tc>
        <w:tc>
          <w:tcPr>
            <w:tcW w:w="3504" w:type="dxa"/>
            <w:noWrap/>
            <w:vAlign w:val="center"/>
          </w:tcPr>
          <w:p w14:paraId="446C7BDC">
            <w:pPr>
              <w:spacing w:line="240" w:lineRule="auto"/>
              <w:jc w:val="both"/>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发现</w:t>
            </w:r>
            <w:r>
              <w:rPr>
                <w:rFonts w:hint="eastAsia" w:ascii="仿宋_GB2312" w:hAnsi="仿宋_GB2312" w:eastAsia="仿宋_GB2312" w:cs="仿宋_GB2312"/>
                <w:color w:val="000000" w:themeColor="text1"/>
                <w:sz w:val="24"/>
                <w:szCs w:val="24"/>
                <w14:textFill>
                  <w14:solidFill>
                    <w14:schemeClr w14:val="tx1"/>
                  </w14:solidFill>
                </w14:textFill>
              </w:rPr>
              <w:t>员工在休息间或值班室使用违章电器</w:t>
            </w:r>
            <w:r>
              <w:rPr>
                <w:rFonts w:hint="eastAsia" w:ascii="仿宋_GB2312" w:hAnsi="仿宋_GB2312" w:eastAsia="仿宋_GB2312" w:cs="仿宋_GB2312"/>
                <w:color w:val="000000" w:themeColor="text1"/>
                <w:sz w:val="24"/>
                <w:szCs w:val="24"/>
                <w:lang w:eastAsia="zh-CN"/>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发现一起，扣5分</w:t>
            </w:r>
          </w:p>
        </w:tc>
        <w:tc>
          <w:tcPr>
            <w:tcW w:w="723" w:type="dxa"/>
            <w:vAlign w:val="center"/>
          </w:tcPr>
          <w:p w14:paraId="6C529439">
            <w:pPr>
              <w:spacing w:line="240" w:lineRule="auto"/>
              <w:jc w:val="center"/>
              <w:rPr>
                <w:rFonts w:hint="default"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15</w:t>
            </w:r>
          </w:p>
        </w:tc>
        <w:tc>
          <w:tcPr>
            <w:tcW w:w="737" w:type="dxa"/>
            <w:vAlign w:val="center"/>
          </w:tcPr>
          <w:p w14:paraId="7E4817BA">
            <w:pPr>
              <w:spacing w:line="240" w:lineRule="auto"/>
              <w:jc w:val="both"/>
              <w:rPr>
                <w:rFonts w:ascii="仿宋_GB2312" w:hAnsi="仿宋_GB2312" w:eastAsia="仿宋_GB2312" w:cs="仿宋_GB2312"/>
                <w:sz w:val="24"/>
                <w:szCs w:val="24"/>
              </w:rPr>
            </w:pPr>
          </w:p>
        </w:tc>
      </w:tr>
      <w:tr w14:paraId="1C2A99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448" w:type="dxa"/>
            <w:gridSpan w:val="4"/>
            <w:noWrap/>
            <w:vAlign w:val="center"/>
          </w:tcPr>
          <w:p w14:paraId="7FB8B0A8">
            <w:pPr>
              <w:spacing w:line="240"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总分</w:t>
            </w:r>
          </w:p>
        </w:tc>
        <w:tc>
          <w:tcPr>
            <w:tcW w:w="723" w:type="dxa"/>
            <w:noWrap/>
            <w:vAlign w:val="center"/>
          </w:tcPr>
          <w:p w14:paraId="7FF95BDD">
            <w:pPr>
              <w:spacing w:line="240" w:lineRule="auto"/>
              <w:jc w:val="center"/>
              <w:rPr>
                <w:rFonts w:hint="default"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100</w:t>
            </w:r>
          </w:p>
        </w:tc>
        <w:tc>
          <w:tcPr>
            <w:tcW w:w="737" w:type="dxa"/>
            <w:noWrap/>
            <w:vAlign w:val="center"/>
          </w:tcPr>
          <w:p w14:paraId="1D0F151C">
            <w:pPr>
              <w:spacing w:line="240" w:lineRule="auto"/>
              <w:ind w:firstLine="317" w:firstLineChars="0"/>
              <w:jc w:val="both"/>
              <w:rPr>
                <w:rFonts w:hint="eastAsia" w:ascii="仿宋_GB2312" w:hAnsi="仿宋_GB2312" w:eastAsia="仿宋_GB2312" w:cs="仿宋_GB2312"/>
                <w:sz w:val="24"/>
                <w:szCs w:val="24"/>
                <w:lang w:val="en-US" w:eastAsia="zh-CN"/>
              </w:rPr>
            </w:pPr>
          </w:p>
        </w:tc>
      </w:tr>
    </w:tbl>
    <w:p w14:paraId="6AE419D7">
      <w:pPr>
        <w:spacing w:line="400" w:lineRule="exact"/>
        <w:ind w:firstLine="480" w:firstLineChars="2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说明：1、满分100分为计，最终考核得分≥90分为考核合格，考核合格，校方向服务方全额支付该季度服务费用；考核得分80-89分，扣除该季度服务费用的10%；考核得分60-79分，扣除服务费用的50%；考核得分60分以下，校方有权终止合同。</w:t>
      </w:r>
    </w:p>
    <w:p w14:paraId="107F320E">
      <w:pPr>
        <w:spacing w:line="400" w:lineRule="exact"/>
        <w:jc w:val="both"/>
        <w:rPr>
          <w:rFonts w:hint="default" w:ascii="仿宋_GB2312" w:hAnsi="仿宋_GB2312" w:eastAsia="仿宋_GB2312" w:cs="仿宋_GB2312"/>
          <w:sz w:val="24"/>
          <w:szCs w:val="24"/>
          <w:lang w:val="en-US" w:eastAsia="zh-CN"/>
        </w:rPr>
      </w:pPr>
    </w:p>
    <w:p w14:paraId="76D53012">
      <w:pPr>
        <w:spacing w:line="400" w:lineRule="exact"/>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被</w:t>
      </w:r>
      <w:r>
        <w:rPr>
          <w:rFonts w:hint="eastAsia" w:ascii="仿宋_GB2312" w:hAnsi="仿宋_GB2312" w:eastAsia="仿宋_GB2312" w:cs="仿宋_GB2312"/>
          <w:sz w:val="24"/>
          <w:szCs w:val="24"/>
        </w:rPr>
        <w:t>考核</w:t>
      </w:r>
      <w:r>
        <w:rPr>
          <w:rFonts w:hint="eastAsia" w:ascii="仿宋_GB2312" w:hAnsi="仿宋_GB2312" w:eastAsia="仿宋_GB2312" w:cs="仿宋_GB2312"/>
          <w:sz w:val="24"/>
          <w:szCs w:val="24"/>
          <w:lang w:val="en-US" w:eastAsia="zh-CN"/>
        </w:rPr>
        <w:t>单位（签章）</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none"/>
          <w:lang w:val="en-US" w:eastAsia="zh-CN"/>
        </w:rPr>
        <w:t xml:space="preserve">   </w:t>
      </w:r>
      <w:r>
        <w:rPr>
          <w:rFonts w:hint="eastAsia" w:ascii="仿宋_GB2312" w:hAnsi="仿宋_GB2312" w:eastAsia="仿宋_GB2312" w:cs="仿宋_GB2312"/>
          <w:sz w:val="24"/>
          <w:szCs w:val="24"/>
        </w:rPr>
        <w:t>考核</w:t>
      </w:r>
      <w:r>
        <w:rPr>
          <w:rFonts w:hint="eastAsia" w:ascii="仿宋_GB2312" w:hAnsi="仿宋_GB2312" w:eastAsia="仿宋_GB2312" w:cs="仿宋_GB2312"/>
          <w:sz w:val="24"/>
          <w:szCs w:val="24"/>
          <w:lang w:val="en-US" w:eastAsia="zh-CN"/>
        </w:rPr>
        <w:t>单位（签章）</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u w:val="single"/>
          <w:lang w:val="en-US" w:eastAsia="zh-CN"/>
        </w:rPr>
        <w:t xml:space="preserve">               </w:t>
      </w:r>
    </w:p>
    <w:p w14:paraId="7D08400C">
      <w:pPr>
        <w:spacing w:line="400" w:lineRule="exact"/>
        <w:ind w:firstLine="4320" w:firstLineChars="1800"/>
        <w:jc w:val="both"/>
        <w:rPr>
          <w:rFonts w:hint="default"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u w:val="none"/>
          <w:lang w:val="en-US" w:eastAsia="zh-CN"/>
        </w:rPr>
        <w:t xml:space="preserve">     </w:t>
      </w:r>
      <w:r>
        <w:rPr>
          <w:rFonts w:hint="eastAsia" w:ascii="仿宋_GB2312" w:hAnsi="仿宋_GB2312" w:eastAsia="仿宋_GB2312" w:cs="仿宋_GB2312"/>
          <w:sz w:val="24"/>
          <w:szCs w:val="24"/>
        </w:rPr>
        <w:t>考核</w:t>
      </w:r>
      <w:r>
        <w:rPr>
          <w:rFonts w:hint="eastAsia" w:ascii="仿宋_GB2312" w:hAnsi="仿宋_GB2312" w:eastAsia="仿宋_GB2312" w:cs="仿宋_GB2312"/>
          <w:sz w:val="24"/>
          <w:szCs w:val="24"/>
          <w:lang w:val="en-US" w:eastAsia="zh-CN"/>
        </w:rPr>
        <w:t>人员</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u w:val="single"/>
          <w:lang w:val="en-US" w:eastAsia="zh-CN"/>
        </w:rPr>
        <w:t xml:space="preserve">                </w:t>
      </w:r>
    </w:p>
    <w:p w14:paraId="4C34F4D5">
      <w:pPr>
        <w:spacing w:line="400" w:lineRule="exact"/>
        <w:jc w:val="both"/>
        <w:rPr>
          <w:rFonts w:hint="default"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考核时间：</w:t>
      </w:r>
      <w:r>
        <w:rPr>
          <w:rFonts w:hint="eastAsia" w:ascii="仿宋_GB2312" w:hAnsi="仿宋_GB2312" w:eastAsia="仿宋_GB2312" w:cs="仿宋_GB2312"/>
          <w:sz w:val="24"/>
          <w:szCs w:val="24"/>
          <w:u w:val="single"/>
          <w:lang w:val="en-US" w:eastAsia="zh-CN"/>
        </w:rPr>
        <w:t xml:space="preserve">                </w:t>
      </w:r>
    </w:p>
    <w:p w14:paraId="69302D39">
      <w:pPr>
        <w:spacing w:line="400" w:lineRule="exact"/>
        <w:jc w:val="both"/>
        <w:rPr>
          <w:rFonts w:hint="eastAsia" w:ascii="仿宋" w:hAnsi="仿宋" w:eastAsia="仿宋" w:cs="仿宋"/>
          <w:b/>
          <w:color w:val="000000" w:themeColor="text1"/>
          <w:sz w:val="28"/>
          <w:szCs w:val="28"/>
          <w:highlight w:val="cyan"/>
          <w:lang w:val="en-US" w:eastAsia="zh-CN"/>
          <w14:textFill>
            <w14:solidFill>
              <w14:schemeClr w14:val="tx1"/>
            </w14:solidFill>
          </w14:textFill>
        </w:rPr>
      </w:pPr>
      <w:r>
        <w:rPr>
          <w:rFonts w:hint="eastAsia" w:ascii="仿宋_GB2312" w:hAnsi="仿宋_GB2312" w:eastAsia="仿宋_GB2312" w:cs="仿宋_GB2312"/>
          <w:sz w:val="24"/>
          <w:szCs w:val="24"/>
          <w:lang w:val="en-US" w:eastAsia="zh-CN"/>
        </w:rPr>
        <w:t xml:space="preserve">                                 </w:t>
      </w:r>
    </w:p>
    <w:p w14:paraId="7D6516A8">
      <w:pPr>
        <w:spacing w:line="400" w:lineRule="exact"/>
        <w:jc w:val="both"/>
        <w:rPr>
          <w:rFonts w:hint="eastAsia" w:ascii="仿宋" w:hAnsi="仿宋" w:eastAsia="仿宋" w:cs="仿宋"/>
          <w:b/>
          <w:color w:val="000000" w:themeColor="text1"/>
          <w:sz w:val="28"/>
          <w:szCs w:val="28"/>
          <w:highlight w:val="cyan"/>
          <w:lang w:val="en-US" w:eastAsia="zh-CN"/>
          <w14:textFill>
            <w14:solidFill>
              <w14:schemeClr w14:val="tx1"/>
            </w14:solidFill>
          </w14:textFill>
        </w:rPr>
      </w:pPr>
    </w:p>
    <w:p w14:paraId="23798EB8">
      <w:pPr>
        <w:spacing w:line="400" w:lineRule="exact"/>
        <w:jc w:val="both"/>
        <w:rPr>
          <w:rFonts w:hint="eastAsia" w:ascii="仿宋" w:hAnsi="仿宋" w:eastAsia="仿宋" w:cs="仿宋"/>
          <w:b/>
          <w:color w:val="000000" w:themeColor="text1"/>
          <w:sz w:val="28"/>
          <w:szCs w:val="28"/>
          <w:highlight w:val="cyan"/>
          <w:lang w:val="en-US" w:eastAsia="zh-CN"/>
          <w14:textFill>
            <w14:solidFill>
              <w14:schemeClr w14:val="tx1"/>
            </w14:solidFill>
          </w14:textFill>
        </w:rPr>
      </w:pPr>
    </w:p>
    <w:p w14:paraId="17B105CF">
      <w:pPr>
        <w:spacing w:line="400" w:lineRule="exact"/>
        <w:jc w:val="both"/>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lang w:val="en-US" w:eastAsia="zh-CN"/>
          <w14:textFill>
            <w14:solidFill>
              <w14:schemeClr w14:val="tx1"/>
            </w14:solidFill>
          </w14:textFill>
        </w:rPr>
        <w:t>附</w:t>
      </w:r>
      <w:r>
        <w:rPr>
          <w:rFonts w:hint="eastAsia" w:ascii="仿宋" w:hAnsi="仿宋" w:eastAsia="仿宋" w:cs="仿宋"/>
          <w:b/>
          <w:color w:val="000000" w:themeColor="text1"/>
          <w:sz w:val="28"/>
          <w:szCs w:val="28"/>
          <w:highlight w:val="none"/>
          <w14:textFill>
            <w14:solidFill>
              <w14:schemeClr w14:val="tx1"/>
            </w14:solidFill>
          </w14:textFill>
        </w:rPr>
        <w:t>件</w:t>
      </w:r>
      <w:r>
        <w:rPr>
          <w:rFonts w:hint="eastAsia" w:ascii="仿宋" w:hAnsi="仿宋" w:eastAsia="仿宋" w:cs="仿宋"/>
          <w:b/>
          <w:color w:val="000000" w:themeColor="text1"/>
          <w:sz w:val="28"/>
          <w:szCs w:val="28"/>
          <w:highlight w:val="none"/>
          <w:lang w:val="en-US" w:eastAsia="zh-CN"/>
          <w14:textFill>
            <w14:solidFill>
              <w14:schemeClr w14:val="tx1"/>
            </w14:solidFill>
          </w14:textFill>
        </w:rPr>
        <w:t>3</w:t>
      </w:r>
      <w:r>
        <w:rPr>
          <w:rFonts w:hint="eastAsia" w:ascii="仿宋" w:hAnsi="仿宋" w:eastAsia="仿宋" w:cs="仿宋"/>
          <w:b/>
          <w:color w:val="000000" w:themeColor="text1"/>
          <w:sz w:val="28"/>
          <w:szCs w:val="28"/>
          <w:highlight w:val="none"/>
          <w14:textFill>
            <w14:solidFill>
              <w14:schemeClr w14:val="tx1"/>
            </w14:solidFill>
          </w14:textFill>
        </w:rPr>
        <w:t>:</w:t>
      </w:r>
    </w:p>
    <w:p w14:paraId="4960AC3C">
      <w:pPr>
        <w:spacing w:line="400" w:lineRule="exact"/>
        <w:jc w:val="center"/>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14:textFill>
            <w14:solidFill>
              <w14:schemeClr w14:val="tx1"/>
            </w14:solidFill>
          </w14:textFill>
        </w:rPr>
        <w:t>违约处理办法</w:t>
      </w:r>
    </w:p>
    <w:p w14:paraId="2C7A84F8">
      <w:pPr>
        <w:spacing w:line="480" w:lineRule="exact"/>
        <w:ind w:firstLine="560" w:firstLineChars="200"/>
        <w:jc w:val="both"/>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乙方在合同执行过程中违反相关服务内容、服务规程和考核要求的，将视情节轻重在每季度</w:t>
      </w:r>
      <w:r>
        <w:rPr>
          <w:rFonts w:hint="eastAsia" w:ascii="仿宋" w:hAnsi="仿宋" w:eastAsia="仿宋" w:cs="仿宋"/>
          <w:color w:val="000000" w:themeColor="text1"/>
          <w:sz w:val="28"/>
          <w:szCs w:val="28"/>
          <w:highlight w:val="none"/>
          <w:lang w:val="en-US" w:eastAsia="zh-CN"/>
          <w14:textFill>
            <w14:solidFill>
              <w14:schemeClr w14:val="tx1"/>
            </w14:solidFill>
          </w14:textFill>
        </w:rPr>
        <w:t>考核</w:t>
      </w:r>
      <w:r>
        <w:rPr>
          <w:rFonts w:hint="eastAsia" w:ascii="仿宋" w:hAnsi="仿宋" w:eastAsia="仿宋" w:cs="仿宋"/>
          <w:color w:val="000000" w:themeColor="text1"/>
          <w:sz w:val="28"/>
          <w:szCs w:val="28"/>
          <w:highlight w:val="none"/>
          <w14:textFill>
            <w14:solidFill>
              <w14:schemeClr w14:val="tx1"/>
            </w14:solidFill>
          </w14:textFill>
        </w:rPr>
        <w:t>时</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扣除相应费用</w:t>
      </w:r>
      <w:r>
        <w:rPr>
          <w:rFonts w:hint="default" w:ascii="仿宋" w:hAnsi="仿宋" w:eastAsia="仿宋" w:cs="仿宋"/>
          <w:color w:val="000000" w:themeColor="text1"/>
          <w:sz w:val="28"/>
          <w:szCs w:val="28"/>
          <w:highlight w:val="none"/>
          <w14:textFill>
            <w14:solidFill>
              <w14:schemeClr w14:val="tx1"/>
            </w14:solidFill>
          </w14:textFill>
        </w:rPr>
        <w:t>或予以终止合同处理，具体以学校出具的书面通知为准（包括但不限于以下情形</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w:t>
      </w:r>
    </w:p>
    <w:p w14:paraId="2A223AC5">
      <w:pPr>
        <w:spacing w:line="480" w:lineRule="exact"/>
        <w:ind w:firstLine="560" w:firstLineChars="200"/>
        <w:jc w:val="both"/>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1.经学校认定乙方存在转包事实，经指出一个月内仍未改正的，学校有权按终止合同处理。</w:t>
      </w:r>
    </w:p>
    <w:p w14:paraId="064C6015">
      <w:pPr>
        <w:spacing w:line="480" w:lineRule="exact"/>
        <w:ind w:firstLine="560" w:firstLineChars="200"/>
        <w:jc w:val="both"/>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2.未建立大楼日常物业管理、入住人员信息、</w:t>
      </w:r>
      <w:r>
        <w:rPr>
          <w:rFonts w:hint="eastAsia" w:ascii="仿宋" w:hAnsi="仿宋" w:eastAsia="仿宋" w:cs="仿宋"/>
          <w:color w:val="000000" w:themeColor="text1"/>
          <w:sz w:val="28"/>
          <w:szCs w:val="28"/>
          <w:highlight w:val="none"/>
          <w:lang w:val="en-US" w:eastAsia="zh-CN"/>
          <w14:textFill>
            <w14:solidFill>
              <w14:schemeClr w14:val="tx1"/>
            </w14:solidFill>
          </w14:textFill>
        </w:rPr>
        <w:t>物品</w:t>
      </w:r>
      <w:r>
        <w:rPr>
          <w:rFonts w:hint="eastAsia" w:ascii="仿宋" w:hAnsi="仿宋" w:eastAsia="仿宋" w:cs="仿宋"/>
          <w:color w:val="000000" w:themeColor="text1"/>
          <w:sz w:val="28"/>
          <w:szCs w:val="28"/>
          <w:highlight w:val="none"/>
          <w14:textFill>
            <w14:solidFill>
              <w14:schemeClr w14:val="tx1"/>
            </w14:solidFill>
          </w14:textFill>
        </w:rPr>
        <w:t>出入管理台账，</w:t>
      </w:r>
      <w:r>
        <w:rPr>
          <w:rFonts w:hint="eastAsia" w:ascii="仿宋" w:hAnsi="仿宋" w:eastAsia="仿宋" w:cs="仿宋"/>
          <w:color w:val="000000" w:themeColor="text1"/>
          <w:sz w:val="28"/>
          <w:szCs w:val="28"/>
          <w:highlight w:val="none"/>
          <w:lang w:val="en-US" w:eastAsia="zh-CN"/>
          <w14:textFill>
            <w14:solidFill>
              <w14:schemeClr w14:val="tx1"/>
            </w14:solidFill>
          </w14:textFill>
        </w:rPr>
        <w:t>或</w:t>
      </w:r>
      <w:r>
        <w:rPr>
          <w:rFonts w:hint="eastAsia" w:ascii="仿宋" w:hAnsi="仿宋" w:eastAsia="仿宋" w:cs="仿宋"/>
          <w:color w:val="000000" w:themeColor="text1"/>
          <w:sz w:val="28"/>
          <w:szCs w:val="28"/>
          <w:highlight w:val="none"/>
          <w14:textFill>
            <w14:solidFill>
              <w14:schemeClr w14:val="tx1"/>
            </w14:solidFill>
          </w14:textFill>
        </w:rPr>
        <w:t>不按实际情况更新的，每发现一项扣除</w:t>
      </w:r>
      <w:r>
        <w:rPr>
          <w:rFonts w:hint="eastAsia" w:ascii="仿宋" w:hAnsi="仿宋" w:eastAsia="仿宋" w:cs="仿宋"/>
          <w:color w:val="000000" w:themeColor="text1"/>
          <w:sz w:val="28"/>
          <w:szCs w:val="28"/>
          <w:highlight w:val="none"/>
          <w:lang w:val="en-US" w:eastAsia="zh-CN"/>
          <w14:textFill>
            <w14:solidFill>
              <w14:schemeClr w14:val="tx1"/>
            </w14:solidFill>
          </w14:textFill>
        </w:rPr>
        <w:t>2000</w:t>
      </w:r>
      <w:r>
        <w:rPr>
          <w:rFonts w:hint="eastAsia" w:ascii="仿宋" w:hAnsi="仿宋" w:eastAsia="仿宋" w:cs="仿宋"/>
          <w:color w:val="000000" w:themeColor="text1"/>
          <w:sz w:val="28"/>
          <w:szCs w:val="28"/>
          <w:highlight w:val="none"/>
          <w14:textFill>
            <w14:solidFill>
              <w14:schemeClr w14:val="tx1"/>
            </w14:solidFill>
          </w14:textFill>
        </w:rPr>
        <w:t>元；经指出一月内仍未改正的，学校有权按终止合同处理。</w:t>
      </w:r>
    </w:p>
    <w:p w14:paraId="1FEF2BEF">
      <w:pPr>
        <w:spacing w:line="480" w:lineRule="exact"/>
        <w:ind w:firstLine="560" w:firstLineChars="200"/>
        <w:jc w:val="both"/>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3.</w:t>
      </w:r>
      <w:r>
        <w:rPr>
          <w:rFonts w:hint="eastAsia" w:ascii="仿宋" w:hAnsi="仿宋" w:eastAsia="仿宋" w:cs="仿宋"/>
          <w:color w:val="000000" w:themeColor="text1"/>
          <w:sz w:val="28"/>
          <w:szCs w:val="28"/>
          <w:highlight w:val="none"/>
          <w:lang w:val="en-US" w:eastAsia="zh-CN"/>
          <w14:textFill>
            <w14:solidFill>
              <w14:schemeClr w14:val="tx1"/>
            </w14:solidFill>
          </w14:textFill>
        </w:rPr>
        <w:t>未能提供</w:t>
      </w:r>
      <w:r>
        <w:rPr>
          <w:rFonts w:hint="eastAsia" w:ascii="仿宋" w:hAnsi="仿宋" w:eastAsia="仿宋" w:cs="仿宋"/>
          <w:color w:val="000000" w:themeColor="text1"/>
          <w:sz w:val="28"/>
          <w:szCs w:val="28"/>
          <w:highlight w:val="none"/>
          <w14:textFill>
            <w14:solidFill>
              <w14:schemeClr w14:val="tx1"/>
            </w14:solidFill>
          </w14:textFill>
        </w:rPr>
        <w:t>员工岗位名册</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员工信息未及时更新，</w:t>
      </w:r>
      <w:r>
        <w:rPr>
          <w:rFonts w:hint="eastAsia" w:ascii="仿宋" w:hAnsi="仿宋" w:eastAsia="仿宋" w:cs="仿宋"/>
          <w:color w:val="000000" w:themeColor="text1"/>
          <w:sz w:val="28"/>
          <w:szCs w:val="28"/>
          <w:highlight w:val="none"/>
          <w14:textFill>
            <w14:solidFill>
              <w14:schemeClr w14:val="tx1"/>
            </w14:solidFill>
          </w14:textFill>
        </w:rPr>
        <w:t>员工岗位</w:t>
      </w:r>
      <w:r>
        <w:rPr>
          <w:rFonts w:hint="eastAsia" w:ascii="仿宋" w:hAnsi="仿宋" w:eastAsia="仿宋" w:cs="仿宋"/>
          <w:color w:val="000000" w:themeColor="text1"/>
          <w:sz w:val="28"/>
          <w:szCs w:val="28"/>
          <w:highlight w:val="none"/>
          <w:lang w:val="en-US" w:eastAsia="zh-CN"/>
          <w14:textFill>
            <w14:solidFill>
              <w14:schemeClr w14:val="tx1"/>
            </w14:solidFill>
          </w14:textFill>
        </w:rPr>
        <w:t>未</w:t>
      </w:r>
      <w:r>
        <w:rPr>
          <w:rFonts w:hint="eastAsia" w:ascii="仿宋" w:hAnsi="仿宋" w:eastAsia="仿宋" w:cs="仿宋"/>
          <w:color w:val="000000" w:themeColor="text1"/>
          <w:sz w:val="28"/>
          <w:szCs w:val="28"/>
          <w:highlight w:val="none"/>
          <w14:textFill>
            <w14:solidFill>
              <w14:schemeClr w14:val="tx1"/>
            </w14:solidFill>
          </w14:textFill>
        </w:rPr>
        <w:t>实行定编、定岗、定位</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发现名册或岗位与实际不符</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实际在岗人员未满5人的，以上任一项</w:t>
      </w:r>
      <w:r>
        <w:rPr>
          <w:rFonts w:hint="eastAsia" w:ascii="仿宋" w:hAnsi="仿宋" w:eastAsia="仿宋" w:cs="仿宋"/>
          <w:color w:val="000000" w:themeColor="text1"/>
          <w:sz w:val="28"/>
          <w:szCs w:val="28"/>
          <w:highlight w:val="none"/>
          <w14:textFill>
            <w14:solidFill>
              <w14:schemeClr w14:val="tx1"/>
            </w14:solidFill>
          </w14:textFill>
        </w:rPr>
        <w:t>经指出</w:t>
      </w:r>
      <w:r>
        <w:rPr>
          <w:rFonts w:hint="eastAsia" w:ascii="仿宋" w:hAnsi="仿宋" w:eastAsia="仿宋" w:cs="仿宋"/>
          <w:color w:val="000000" w:themeColor="text1"/>
          <w:sz w:val="28"/>
          <w:szCs w:val="28"/>
          <w:highlight w:val="none"/>
          <w:lang w:val="en-US" w:eastAsia="zh-CN"/>
          <w14:textFill>
            <w14:solidFill>
              <w14:schemeClr w14:val="tx1"/>
            </w14:solidFill>
          </w14:textFill>
        </w:rPr>
        <w:t>仍</w:t>
      </w:r>
      <w:r>
        <w:rPr>
          <w:rFonts w:hint="eastAsia" w:ascii="仿宋" w:hAnsi="仿宋" w:eastAsia="仿宋" w:cs="仿宋"/>
          <w:color w:val="000000" w:themeColor="text1"/>
          <w:sz w:val="28"/>
          <w:szCs w:val="28"/>
          <w:highlight w:val="none"/>
          <w14:textFill>
            <w14:solidFill>
              <w14:schemeClr w14:val="tx1"/>
            </w14:solidFill>
          </w14:textFill>
        </w:rPr>
        <w:t>未整改的，扣除8000元。</w:t>
      </w:r>
    </w:p>
    <w:p w14:paraId="32E22EA0">
      <w:pPr>
        <w:spacing w:line="480" w:lineRule="exact"/>
        <w:ind w:firstLine="560" w:firstLineChars="200"/>
        <w:jc w:val="both"/>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4.受到师生有效投诉，</w:t>
      </w:r>
      <w:r>
        <w:rPr>
          <w:rFonts w:hint="eastAsia" w:ascii="仿宋" w:hAnsi="仿宋" w:eastAsia="仿宋" w:cs="仿宋"/>
          <w:color w:val="000000" w:themeColor="text1"/>
          <w:sz w:val="28"/>
          <w:szCs w:val="28"/>
          <w:highlight w:val="none"/>
          <w:lang w:val="en-US" w:eastAsia="zh-CN"/>
          <w14:textFill>
            <w14:solidFill>
              <w14:schemeClr w14:val="tx1"/>
            </w14:solidFill>
          </w14:textFill>
        </w:rPr>
        <w:t>且未及时整改或整改不到位的，</w:t>
      </w:r>
      <w:r>
        <w:rPr>
          <w:rFonts w:hint="eastAsia" w:ascii="仿宋" w:hAnsi="仿宋" w:eastAsia="仿宋" w:cs="仿宋"/>
          <w:color w:val="000000" w:themeColor="text1"/>
          <w:sz w:val="28"/>
          <w:szCs w:val="28"/>
          <w:highlight w:val="none"/>
          <w14:textFill>
            <w14:solidFill>
              <w14:schemeClr w14:val="tx1"/>
            </w14:solidFill>
          </w14:textFill>
        </w:rPr>
        <w:t>每次扣除500元；学校下发整改单要求整改，</w:t>
      </w:r>
      <w:r>
        <w:rPr>
          <w:rFonts w:hint="eastAsia" w:ascii="仿宋" w:hAnsi="仿宋" w:eastAsia="仿宋" w:cs="仿宋"/>
          <w:color w:val="000000" w:themeColor="text1"/>
          <w:sz w:val="28"/>
          <w:szCs w:val="28"/>
          <w:highlight w:val="none"/>
          <w:lang w:val="en-US" w:eastAsia="zh-CN"/>
          <w14:textFill>
            <w14:solidFill>
              <w14:schemeClr w14:val="tx1"/>
            </w14:solidFill>
          </w14:textFill>
        </w:rPr>
        <w:t>但乙方未能及时整改或整改不到位的，</w:t>
      </w:r>
      <w:r>
        <w:rPr>
          <w:rFonts w:hint="eastAsia" w:ascii="仿宋" w:hAnsi="仿宋" w:eastAsia="仿宋" w:cs="仿宋"/>
          <w:color w:val="000000" w:themeColor="text1"/>
          <w:sz w:val="28"/>
          <w:szCs w:val="28"/>
          <w:highlight w:val="none"/>
          <w14:textFill>
            <w14:solidFill>
              <w14:schemeClr w14:val="tx1"/>
            </w14:solidFill>
          </w14:textFill>
        </w:rPr>
        <w:t>每次扣除</w:t>
      </w:r>
      <w:r>
        <w:rPr>
          <w:rFonts w:hint="eastAsia" w:ascii="仿宋" w:hAnsi="仿宋" w:eastAsia="仿宋" w:cs="仿宋"/>
          <w:color w:val="000000" w:themeColor="text1"/>
          <w:sz w:val="28"/>
          <w:szCs w:val="28"/>
          <w:highlight w:val="none"/>
          <w:lang w:val="en-US" w:eastAsia="zh-CN"/>
          <w14:textFill>
            <w14:solidFill>
              <w14:schemeClr w14:val="tx1"/>
            </w14:solidFill>
          </w14:textFill>
        </w:rPr>
        <w:t>2000</w:t>
      </w:r>
      <w:r>
        <w:rPr>
          <w:rFonts w:hint="eastAsia" w:ascii="仿宋" w:hAnsi="仿宋" w:eastAsia="仿宋" w:cs="仿宋"/>
          <w:color w:val="000000" w:themeColor="text1"/>
          <w:sz w:val="28"/>
          <w:szCs w:val="28"/>
          <w:highlight w:val="none"/>
          <w14:textFill>
            <w14:solidFill>
              <w14:schemeClr w14:val="tx1"/>
            </w14:solidFill>
          </w14:textFill>
        </w:rPr>
        <w:t>元，发生2次以上且拒不整改的，学校有权按终止合同处理。</w:t>
      </w:r>
    </w:p>
    <w:p w14:paraId="25AB2DC2">
      <w:pPr>
        <w:spacing w:line="480" w:lineRule="exact"/>
        <w:ind w:firstLine="560" w:firstLineChars="200"/>
        <w:jc w:val="both"/>
        <w:rPr>
          <w:rFonts w:hint="eastAsia" w:ascii="仿宋" w:hAnsi="仿宋" w:eastAsia="仿宋" w:cs="仿宋"/>
          <w:color w:val="000000" w:themeColor="text1"/>
          <w:sz w:val="28"/>
          <w:szCs w:val="28"/>
          <w:highlight w:val="yellow"/>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5.其他根据招标文件、服务合同约定，未达到相关服务内容、服务规程和考核要求相关条款的，经学校出具书面整改通知书后，逾期仍不整改的，</w:t>
      </w:r>
      <w:r>
        <w:rPr>
          <w:rFonts w:hint="eastAsia" w:ascii="仿宋" w:hAnsi="仿宋" w:eastAsia="仿宋" w:cs="仿宋"/>
          <w:color w:val="000000" w:themeColor="text1"/>
          <w:sz w:val="28"/>
          <w:szCs w:val="28"/>
          <w:highlight w:val="none"/>
          <w:lang w:val="en-US" w:eastAsia="zh-CN"/>
          <w14:textFill>
            <w14:solidFill>
              <w14:schemeClr w14:val="tx1"/>
            </w14:solidFill>
          </w14:textFill>
        </w:rPr>
        <w:t>学校有权</w:t>
      </w:r>
      <w:r>
        <w:rPr>
          <w:rFonts w:hint="eastAsia" w:ascii="仿宋" w:hAnsi="仿宋" w:eastAsia="仿宋" w:cs="仿宋"/>
          <w:color w:val="000000" w:themeColor="text1"/>
          <w:sz w:val="28"/>
          <w:szCs w:val="28"/>
          <w:highlight w:val="none"/>
          <w14:textFill>
            <w14:solidFill>
              <w14:schemeClr w14:val="tx1"/>
            </w14:solidFill>
          </w14:textFill>
        </w:rPr>
        <w:t>终止合同。</w:t>
      </w:r>
    </w:p>
    <w:p w14:paraId="087FD4D3">
      <w:pPr>
        <w:spacing w:line="480" w:lineRule="exact"/>
        <w:ind w:firstLine="560" w:firstLineChars="200"/>
        <w:jc w:val="both"/>
        <w:rPr>
          <w:rFonts w:hint="default" w:ascii="仿宋" w:hAnsi="仿宋" w:eastAsia="仿宋" w:cs="仿宋"/>
          <w:color w:val="000000" w:themeColor="text1"/>
          <w:sz w:val="28"/>
          <w:szCs w:val="28"/>
          <w:highlight w:val="none"/>
          <w:lang w:val="en-US"/>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6.因乙方</w:t>
      </w:r>
      <w:r>
        <w:rPr>
          <w:rFonts w:hint="eastAsia" w:ascii="仿宋" w:hAnsi="仿宋" w:eastAsia="仿宋" w:cs="仿宋"/>
          <w:sz w:val="28"/>
          <w:szCs w:val="28"/>
          <w:highlight w:val="none"/>
          <w:shd w:val="clear" w:fill="FFFFFF" w:themeFill="background1"/>
          <w:lang w:val="en-US" w:eastAsia="zh-CN"/>
        </w:rPr>
        <w:t>自身工作失职或违约原因造成甲方财产或人员损伤的，甲方依据相关法规，保留追责权利。</w:t>
      </w:r>
    </w:p>
    <w:p w14:paraId="0C7B06E5">
      <w:pPr>
        <w:spacing w:line="400" w:lineRule="exact"/>
        <w:jc w:val="both"/>
        <w:rPr>
          <w:rFonts w:ascii="仿宋_GB2312" w:hAnsi="仿宋_GB2312" w:eastAsia="仿宋_GB2312" w:cs="仿宋_GB2312"/>
          <w:color w:val="FF0000"/>
          <w:sz w:val="30"/>
          <w:szCs w:val="30"/>
          <w:highlight w:val="none"/>
        </w:rPr>
      </w:pPr>
    </w:p>
    <w:p w14:paraId="01D84E58">
      <w:pPr>
        <w:spacing w:line="400" w:lineRule="exact"/>
        <w:jc w:val="both"/>
        <w:rPr>
          <w:rFonts w:ascii="仿宋_GB2312" w:hAnsi="仿宋_GB2312" w:eastAsia="仿宋_GB2312" w:cs="仿宋_GB2312"/>
          <w:color w:val="FF0000"/>
          <w:sz w:val="30"/>
          <w:szCs w:val="30"/>
          <w:highlight w:val="none"/>
        </w:rPr>
      </w:pPr>
    </w:p>
    <w:p w14:paraId="075619D0">
      <w:pPr>
        <w:spacing w:line="400" w:lineRule="exact"/>
        <w:jc w:val="both"/>
        <w:rPr>
          <w:rFonts w:ascii="仿宋_GB2312" w:hAnsi="仿宋_GB2312" w:eastAsia="仿宋_GB2312" w:cs="仿宋_GB2312"/>
          <w:color w:val="FF0000"/>
          <w:sz w:val="30"/>
          <w:szCs w:val="30"/>
          <w:highlight w:val="none"/>
        </w:rPr>
      </w:pPr>
    </w:p>
    <w:p w14:paraId="33BFF3C0">
      <w:pPr>
        <w:spacing w:line="400" w:lineRule="exact"/>
        <w:jc w:val="both"/>
        <w:rPr>
          <w:rFonts w:ascii="仿宋_GB2312" w:hAnsi="仿宋_GB2312" w:eastAsia="仿宋_GB2312" w:cs="仿宋_GB2312"/>
          <w:color w:val="FF0000"/>
          <w:sz w:val="30"/>
          <w:szCs w:val="30"/>
          <w:highlight w:val="none"/>
        </w:rPr>
      </w:pPr>
      <w:bookmarkStart w:id="0" w:name="_GoBack"/>
      <w:bookmarkEnd w:id="0"/>
    </w:p>
    <w:p w14:paraId="34DD7949">
      <w:pPr>
        <w:spacing w:line="400" w:lineRule="exact"/>
        <w:jc w:val="both"/>
        <w:rPr>
          <w:rFonts w:ascii="仿宋_GB2312" w:hAnsi="仿宋_GB2312" w:eastAsia="仿宋_GB2312" w:cs="仿宋_GB2312"/>
          <w:color w:val="FF0000"/>
          <w:sz w:val="30"/>
          <w:szCs w:val="30"/>
          <w:highlight w:val="none"/>
        </w:rPr>
      </w:pPr>
    </w:p>
    <w:p w14:paraId="7D114574">
      <w:pPr>
        <w:spacing w:line="400" w:lineRule="exact"/>
        <w:jc w:val="both"/>
        <w:rPr>
          <w:rFonts w:ascii="仿宋_GB2312" w:hAnsi="仿宋_GB2312" w:eastAsia="仿宋_GB2312" w:cs="仿宋_GB2312"/>
          <w:color w:val="FF0000"/>
          <w:sz w:val="30"/>
          <w:szCs w:val="30"/>
          <w:highlight w:val="none"/>
        </w:rPr>
      </w:pPr>
    </w:p>
    <w:p w14:paraId="1FB60634">
      <w:pPr>
        <w:spacing w:line="400" w:lineRule="exact"/>
        <w:jc w:val="both"/>
        <w:rPr>
          <w:rFonts w:ascii="仿宋_GB2312" w:hAnsi="仿宋_GB2312" w:eastAsia="仿宋_GB2312" w:cs="仿宋_GB2312"/>
          <w:color w:val="FF0000"/>
          <w:sz w:val="30"/>
          <w:szCs w:val="30"/>
          <w:highlight w:val="none"/>
        </w:rPr>
      </w:pPr>
    </w:p>
    <w:p w14:paraId="56B833F3">
      <w:pPr>
        <w:spacing w:line="400" w:lineRule="exact"/>
        <w:jc w:val="both"/>
        <w:rPr>
          <w:rFonts w:ascii="仿宋_GB2312" w:hAnsi="仿宋_GB2312" w:eastAsia="仿宋_GB2312" w:cs="仿宋_GB2312"/>
          <w:color w:val="FF0000"/>
          <w:sz w:val="30"/>
          <w:szCs w:val="30"/>
        </w:rPr>
      </w:pPr>
    </w:p>
    <w:p w14:paraId="7DAD382C">
      <w:pPr>
        <w:spacing w:line="400" w:lineRule="exact"/>
        <w:jc w:val="both"/>
        <w:rPr>
          <w:rFonts w:ascii="仿宋_GB2312" w:hAnsi="仿宋_GB2312" w:eastAsia="仿宋_GB2312" w:cs="仿宋_GB2312"/>
          <w:color w:val="FF0000"/>
          <w:sz w:val="30"/>
          <w:szCs w:val="30"/>
        </w:rPr>
      </w:pPr>
    </w:p>
    <w:p w14:paraId="7805E73B">
      <w:pPr>
        <w:spacing w:line="400" w:lineRule="exact"/>
        <w:jc w:val="both"/>
        <w:rPr>
          <w:rFonts w:ascii="仿宋_GB2312" w:hAnsi="仿宋_GB2312" w:eastAsia="仿宋_GB2312" w:cs="仿宋_GB2312"/>
          <w:color w:val="FF0000"/>
          <w:sz w:val="30"/>
          <w:szCs w:val="30"/>
        </w:rPr>
      </w:pPr>
    </w:p>
    <w:sectPr>
      <w:footerReference r:id="rId3" w:type="default"/>
      <w:pgSz w:w="11906" w:h="16838"/>
      <w:pgMar w:top="1135" w:right="1800" w:bottom="1276"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647EB">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B8154A">
                          <w:pPr>
                            <w:pStyle w:val="6"/>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2B8154A">
                    <w:pPr>
                      <w:pStyle w:val="6"/>
                    </w:pPr>
                    <w:r>
                      <w:fldChar w:fldCharType="begin"/>
                    </w:r>
                    <w:r>
                      <w:instrText xml:space="preserve"> PAGE  \* MERGEFORMAT </w:instrText>
                    </w:r>
                    <w:r>
                      <w:fldChar w:fldCharType="separate"/>
                    </w:r>
                    <w:r>
                      <w:t>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3Y2IyMTJhMmJjMDA0YjQzNDEwNmQ1NTgyMmNjNTYifQ=="/>
  </w:docVars>
  <w:rsids>
    <w:rsidRoot w:val="38F24D54"/>
    <w:rsid w:val="00053AB4"/>
    <w:rsid w:val="00115DFF"/>
    <w:rsid w:val="00247CAD"/>
    <w:rsid w:val="002E26AF"/>
    <w:rsid w:val="00313632"/>
    <w:rsid w:val="00871F2B"/>
    <w:rsid w:val="00884A9A"/>
    <w:rsid w:val="00A40914"/>
    <w:rsid w:val="00B943D1"/>
    <w:rsid w:val="00CA1B9E"/>
    <w:rsid w:val="00D45654"/>
    <w:rsid w:val="00DA7F95"/>
    <w:rsid w:val="01721262"/>
    <w:rsid w:val="02077A6F"/>
    <w:rsid w:val="02510197"/>
    <w:rsid w:val="03B452F5"/>
    <w:rsid w:val="03D54EEB"/>
    <w:rsid w:val="03D96696"/>
    <w:rsid w:val="04053E97"/>
    <w:rsid w:val="04DE365C"/>
    <w:rsid w:val="052E05FE"/>
    <w:rsid w:val="05735476"/>
    <w:rsid w:val="05921402"/>
    <w:rsid w:val="0640277B"/>
    <w:rsid w:val="06A67EFC"/>
    <w:rsid w:val="07230354"/>
    <w:rsid w:val="0889068B"/>
    <w:rsid w:val="08915791"/>
    <w:rsid w:val="09491BC8"/>
    <w:rsid w:val="0951776B"/>
    <w:rsid w:val="099F40DF"/>
    <w:rsid w:val="0AFA1176"/>
    <w:rsid w:val="0B6679D9"/>
    <w:rsid w:val="0CC33639"/>
    <w:rsid w:val="0CE560AB"/>
    <w:rsid w:val="0DE12FE7"/>
    <w:rsid w:val="0F514D91"/>
    <w:rsid w:val="10D83E30"/>
    <w:rsid w:val="122D61C5"/>
    <w:rsid w:val="12D94DD3"/>
    <w:rsid w:val="136D622D"/>
    <w:rsid w:val="1398701B"/>
    <w:rsid w:val="14045069"/>
    <w:rsid w:val="15065033"/>
    <w:rsid w:val="155D01BA"/>
    <w:rsid w:val="15A53943"/>
    <w:rsid w:val="16397FCF"/>
    <w:rsid w:val="16A0001A"/>
    <w:rsid w:val="18C10CF0"/>
    <w:rsid w:val="19F53DD2"/>
    <w:rsid w:val="19FA1C68"/>
    <w:rsid w:val="1A4C1DA9"/>
    <w:rsid w:val="1AE1378F"/>
    <w:rsid w:val="1B79477A"/>
    <w:rsid w:val="1C032DB0"/>
    <w:rsid w:val="1C267F3D"/>
    <w:rsid w:val="1CB1635F"/>
    <w:rsid w:val="1D01483C"/>
    <w:rsid w:val="1D71363B"/>
    <w:rsid w:val="1F05597C"/>
    <w:rsid w:val="1FBE418E"/>
    <w:rsid w:val="218617B3"/>
    <w:rsid w:val="219D3136"/>
    <w:rsid w:val="21B34182"/>
    <w:rsid w:val="224F429B"/>
    <w:rsid w:val="226A69DF"/>
    <w:rsid w:val="234818E3"/>
    <w:rsid w:val="23F24A28"/>
    <w:rsid w:val="25D616BE"/>
    <w:rsid w:val="267E441C"/>
    <w:rsid w:val="27260CC1"/>
    <w:rsid w:val="27386B1B"/>
    <w:rsid w:val="2A122468"/>
    <w:rsid w:val="2A8B3997"/>
    <w:rsid w:val="2AE45CDE"/>
    <w:rsid w:val="2C267E1B"/>
    <w:rsid w:val="2CC72D15"/>
    <w:rsid w:val="2DC37341"/>
    <w:rsid w:val="2DD31B1B"/>
    <w:rsid w:val="2DD549CF"/>
    <w:rsid w:val="2E0B4ED3"/>
    <w:rsid w:val="2E873214"/>
    <w:rsid w:val="2F4728D0"/>
    <w:rsid w:val="306E1D90"/>
    <w:rsid w:val="318A1A05"/>
    <w:rsid w:val="329C1073"/>
    <w:rsid w:val="339E7140"/>
    <w:rsid w:val="33AE3A5F"/>
    <w:rsid w:val="34CE6ADD"/>
    <w:rsid w:val="36A64449"/>
    <w:rsid w:val="381C47C8"/>
    <w:rsid w:val="385F536D"/>
    <w:rsid w:val="3884185E"/>
    <w:rsid w:val="38F24D54"/>
    <w:rsid w:val="39920B14"/>
    <w:rsid w:val="3B251BE5"/>
    <w:rsid w:val="3B6457F9"/>
    <w:rsid w:val="3B9D1D47"/>
    <w:rsid w:val="3C042A7B"/>
    <w:rsid w:val="3C2F64B5"/>
    <w:rsid w:val="3C5D4608"/>
    <w:rsid w:val="3CDB61BA"/>
    <w:rsid w:val="3E8465CB"/>
    <w:rsid w:val="3F487144"/>
    <w:rsid w:val="3FDF6807"/>
    <w:rsid w:val="41100491"/>
    <w:rsid w:val="41F83A29"/>
    <w:rsid w:val="42B57854"/>
    <w:rsid w:val="42D068DB"/>
    <w:rsid w:val="43EB6BA2"/>
    <w:rsid w:val="445B31C8"/>
    <w:rsid w:val="46281230"/>
    <w:rsid w:val="46295A03"/>
    <w:rsid w:val="463D5E4B"/>
    <w:rsid w:val="465254CE"/>
    <w:rsid w:val="46C2653A"/>
    <w:rsid w:val="46FC37FA"/>
    <w:rsid w:val="47EF2DCF"/>
    <w:rsid w:val="49507E2D"/>
    <w:rsid w:val="49B93538"/>
    <w:rsid w:val="49F27137"/>
    <w:rsid w:val="4A2414BE"/>
    <w:rsid w:val="4A7C5F87"/>
    <w:rsid w:val="4A8E488B"/>
    <w:rsid w:val="4A96486E"/>
    <w:rsid w:val="4ADA5CED"/>
    <w:rsid w:val="4B5A4F93"/>
    <w:rsid w:val="4C5C2F8D"/>
    <w:rsid w:val="4D6315D5"/>
    <w:rsid w:val="4D96790A"/>
    <w:rsid w:val="4E4B5067"/>
    <w:rsid w:val="4E8001FB"/>
    <w:rsid w:val="4EB81C7D"/>
    <w:rsid w:val="4ED92673"/>
    <w:rsid w:val="4F416578"/>
    <w:rsid w:val="4F740094"/>
    <w:rsid w:val="4FD80CA0"/>
    <w:rsid w:val="4FF04BE8"/>
    <w:rsid w:val="4FF31E84"/>
    <w:rsid w:val="50503FBA"/>
    <w:rsid w:val="51702008"/>
    <w:rsid w:val="51A90A23"/>
    <w:rsid w:val="51F46F05"/>
    <w:rsid w:val="55BE7A61"/>
    <w:rsid w:val="56175C35"/>
    <w:rsid w:val="56674769"/>
    <w:rsid w:val="585E6C4B"/>
    <w:rsid w:val="59C52A57"/>
    <w:rsid w:val="59D84ACA"/>
    <w:rsid w:val="5A14023B"/>
    <w:rsid w:val="5A67431E"/>
    <w:rsid w:val="5B7F45A2"/>
    <w:rsid w:val="5CA35125"/>
    <w:rsid w:val="5D210B98"/>
    <w:rsid w:val="5D213B63"/>
    <w:rsid w:val="5DFC1674"/>
    <w:rsid w:val="5E740281"/>
    <w:rsid w:val="5F256B8E"/>
    <w:rsid w:val="5F4814D4"/>
    <w:rsid w:val="61B50D1E"/>
    <w:rsid w:val="631B72A6"/>
    <w:rsid w:val="63325A69"/>
    <w:rsid w:val="63AC0EA9"/>
    <w:rsid w:val="64225960"/>
    <w:rsid w:val="64384D2D"/>
    <w:rsid w:val="662419E4"/>
    <w:rsid w:val="662927B2"/>
    <w:rsid w:val="667F73A1"/>
    <w:rsid w:val="66AD46B9"/>
    <w:rsid w:val="66D2287A"/>
    <w:rsid w:val="68F45C29"/>
    <w:rsid w:val="69076303"/>
    <w:rsid w:val="69847953"/>
    <w:rsid w:val="6AAF0554"/>
    <w:rsid w:val="6B564217"/>
    <w:rsid w:val="6C892566"/>
    <w:rsid w:val="6DAF06DA"/>
    <w:rsid w:val="6E2B4C90"/>
    <w:rsid w:val="6E6A1D67"/>
    <w:rsid w:val="6F486AF3"/>
    <w:rsid w:val="7066225F"/>
    <w:rsid w:val="70A95EF1"/>
    <w:rsid w:val="716B1F28"/>
    <w:rsid w:val="71835480"/>
    <w:rsid w:val="71D368CA"/>
    <w:rsid w:val="721E60CE"/>
    <w:rsid w:val="72996F38"/>
    <w:rsid w:val="729A2A1B"/>
    <w:rsid w:val="730B69EF"/>
    <w:rsid w:val="73482E26"/>
    <w:rsid w:val="741C7637"/>
    <w:rsid w:val="75855314"/>
    <w:rsid w:val="76976BB2"/>
    <w:rsid w:val="78E93069"/>
    <w:rsid w:val="793640AC"/>
    <w:rsid w:val="79B74A9C"/>
    <w:rsid w:val="7A3B66BC"/>
    <w:rsid w:val="7A451A22"/>
    <w:rsid w:val="7A6953C9"/>
    <w:rsid w:val="7B575C1B"/>
    <w:rsid w:val="7C414095"/>
    <w:rsid w:val="7C683A03"/>
    <w:rsid w:val="7C6D4277"/>
    <w:rsid w:val="7D7358BD"/>
    <w:rsid w:val="7E8A55B4"/>
    <w:rsid w:val="7E99058A"/>
    <w:rsid w:val="7EF01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360" w:lineRule="auto"/>
      <w:jc w:val="center"/>
      <w:outlineLvl w:val="0"/>
    </w:pPr>
    <w:rPr>
      <w:rFonts w:ascii="Times New Roman" w:hAnsi="Times New Roman" w:eastAsia="宋体" w:cs="Times New Roman"/>
      <w:b/>
      <w:color w:val="000000"/>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after="120"/>
    </w:pPr>
  </w:style>
  <w:style w:type="paragraph" w:styleId="5">
    <w:name w:val="Body Text Indent"/>
    <w:basedOn w:val="1"/>
    <w:next w:val="1"/>
    <w:qFormat/>
    <w:uiPriority w:val="0"/>
    <w:pPr>
      <w:spacing w:line="200" w:lineRule="exact"/>
      <w:ind w:firstLine="301"/>
    </w:pPr>
    <w:rPr>
      <w:rFonts w:ascii="宋体" w:hAnsi="Courier New"/>
      <w:spacing w:val="-4"/>
      <w:sz w:val="18"/>
      <w:szCs w:val="20"/>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napToGrid w:val="0"/>
      <w:ind w:firstLine="480" w:firstLineChars="200"/>
      <w:jc w:val="left"/>
    </w:pPr>
    <w:rPr>
      <w:rFonts w:ascii="仿宋_GB2312" w:hAnsi="宋体" w:eastAsia="仿宋_GB2312" w:cs="Times New Roman"/>
      <w:color w:val="000000"/>
      <w:sz w:val="24"/>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Body Text First Indent"/>
    <w:basedOn w:val="4"/>
    <w:next w:val="1"/>
    <w:qFormat/>
    <w:uiPriority w:val="99"/>
    <w:pPr>
      <w:ind w:firstLine="420" w:firstLineChars="100"/>
    </w:pPr>
    <w:rPr>
      <w:rFonts w:eastAsia="宋体"/>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customStyle="1" w:styleId="15">
    <w:name w:val="页眉 Char"/>
    <w:basedOn w:val="13"/>
    <w:link w:val="7"/>
    <w:qFormat/>
    <w:uiPriority w:val="0"/>
    <w:rPr>
      <w:kern w:val="2"/>
      <w:sz w:val="18"/>
      <w:szCs w:val="18"/>
    </w:rPr>
  </w:style>
  <w:style w:type="character" w:customStyle="1" w:styleId="16">
    <w:name w:val="页脚 Char"/>
    <w:basedOn w:val="13"/>
    <w:link w:val="6"/>
    <w:qFormat/>
    <w:uiPriority w:val="0"/>
    <w:rPr>
      <w:kern w:val="2"/>
      <w:sz w:val="18"/>
      <w:szCs w:val="18"/>
    </w:rPr>
  </w:style>
  <w:style w:type="paragraph" w:customStyle="1" w:styleId="17">
    <w:name w:val="正文_0"/>
    <w:qFormat/>
    <w:uiPriority w:val="99"/>
    <w:rPr>
      <w:rFonts w:ascii="Times New Roman" w:hAnsi="Times New Roman" w:eastAsia="宋体" w:cs="Times New Roman"/>
      <w:sz w:val="21"/>
      <w:lang w:val="en-US" w:eastAsia="zh-CN" w:bidi="ar-SA"/>
    </w:rPr>
  </w:style>
  <w:style w:type="character" w:customStyle="1" w:styleId="18">
    <w:name w:val="font01"/>
    <w:basedOn w:val="13"/>
    <w:qFormat/>
    <w:uiPriority w:val="0"/>
    <w:rPr>
      <w:rFonts w:hint="eastAsia" w:ascii="宋体" w:hAnsi="宋体" w:eastAsia="宋体" w:cs="宋体"/>
      <w:color w:val="000000"/>
      <w:sz w:val="22"/>
      <w:szCs w:val="22"/>
      <w:u w:val="none"/>
    </w:rPr>
  </w:style>
  <w:style w:type="character" w:customStyle="1" w:styleId="19">
    <w:name w:val="font31"/>
    <w:basedOn w:val="13"/>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4827</Words>
  <Characters>4958</Characters>
  <Lines>28</Lines>
  <Paragraphs>7</Paragraphs>
  <TotalTime>49</TotalTime>
  <ScaleCrop>false</ScaleCrop>
  <LinksUpToDate>false</LinksUpToDate>
  <CharactersWithSpaces>5134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2023-09-06T07:41:00Z</dcterms:created>
  <dc:creator>江江</dc:creator>
  <cp:lastModifiedBy>叫我小强好了</cp:lastModifiedBy>
  <cp:lastPrinted>2025-11-24T07:03:00Z</cp:lastPrinted>
  <dcterms:modified xsi:type="dcterms:W3CDTF">2025-12-18T07:19:53Z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0E89E1B6B878466688C5706E33DE456F_13</vt:lpwstr>
  </property>
  <property fmtid="{D5CDD505-2E9C-101B-9397-08002B2CF9AE}" pid="4" name="KSOTemplateDocerSaveRecord">
    <vt:lpwstr>eyJoZGlkIjoiNDhmYTcyMmZiMDk2YzJmNjU0Y2I1YzE5MTg1MjQ0OWQiLCJ1c2VySWQiOiI1ODQ5NjU3MzAifQ==</vt:lpwstr>
  </property>
</Properties>
</file>