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xmlns:wp="http://schemas.openxmlformats.org/drawingml/2006/wordprocessingDrawing">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ZJHU20251104065</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医学院（护理学院）生物合成实验室货物采购项目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2025年11月18日</w:t>
      </w:r>
    </w:p>
    <w:p>
      <w:pPr>
        <w:spacing w:before="0" w:after="0" w:lineRule="exact" w:line="225"/>
      </w:pPr>
    </w:p>
    <w:p>
      <w:pPr>
        <w:sectPr>
          <w:headerReference w:type="default" r:id="rId3"/>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2025年11月25日 14时00分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ZJHU20251104065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医学院（护理学院）生物合成实验室货物采购项目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22.5646</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最高限价(总价)：22.5646万元，超过最高限价的报价为无效报价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为满足实验室建设需要，需采购实验室通风系统、气路系统以及实验台部分相关设备和配件</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参加政府采购活动前三年内（新成立不满三年的公司自成立之日起算）在经营活动中没有重大违法记录；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，不接受现场报名。须上传经工商部门通过年检的企业法人营业执照副本、银行开户行等信息、加盖公章的法人授权委托书、被授权人身份证复印件。</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2025年11月24日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2025年11月25日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2025年11月25日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陈老师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1111111</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2025年11月18日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4"/>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医学院（护理学院）生物合成实验室货物采购项目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医学院27-501</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22.5646</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22.5646万元</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技术响应表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生物合成实验室设备</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具体见附件1</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批</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见附件1</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3615"/>
            <w:tcBorders>
              <w:top w:val="single" w:sz="6"/>
              <w:left w:val="nil"/>
              <w:bottom w:val="nil"/>
              <w:right w:val="nil"/>
            </w:tcBorders>
            <w:tcMar>
              <w:top w:w="20" w:type="dxa"/>
              <w:left w:w="20" w:type="dxa"/>
              <w:bottom w:w="20" w:type="dxa"/>
              <w:right w:w="20" w:type="dxa"/>
            </w:tcMar>
          </w:tcPr>
          <w:p>
            <w:pPr>
              <w:wordWrap w:val="off"/>
            </w:pPr>
          </w:p>
        </w:tc>
        <w:tc>
          <w:tcPr>
            <w:tcW w:type="dxa" w:w="222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142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513"/>
        <w:jc w:val="left"/>
      </w:pPr>
      <w:r>
        <w:rPr>
          <w:rFonts w:ascii="SimSun" w:hAnsi="SimSun" w:cs="SimSun" w:eastAsia="SimSun"/>
          <w:color w:val="000000"/>
          <w:sz w:val="28"/>
        </w:rPr>
        <w:t>1.设备安装图纸如下：</w:t>
      </w:r>
      <w:r>
        <w:drawing>
          <wp:inline distT="0" distR="0" distB="0" distL="0">
            <wp:extent cx="7715250" cy="7000875"/>
            <wp:docPr id="0" name="Drawing 0" descr="c2371eff13734db29a866d317d70261a-e81c81b2-a65a-4bab-bd54-2c819b0e80a6image1.png"/>
            <a:graphic xmlns:a="http://schemas.openxmlformats.org/drawingml/2006/main">
              <a:graphicData uri="http://schemas.openxmlformats.org/drawingml/2006/picture">
                <pic:pic xmlns:pic="http://schemas.openxmlformats.org/drawingml/2006/picture">
                  <pic:nvPicPr>
                    <pic:cNvPr id="0" name="Picture 0" descr="c2371eff13734db29a866d317d70261a-e81c81b2-a65a-4bab-bd54-2c819b0e80a6image1.png"/>
                    <pic:cNvPicPr>
                      <a:picLocks noChangeAspect="true"/>
                    </pic:cNvPicPr>
                  </pic:nvPicPr>
                  <pic:blipFill>
                    <a:blip r:embed="rId2"/>
                    <a:stretch>
                      <a:fillRect/>
                    </a:stretch>
                  </pic:blipFill>
                  <pic:spPr>
                    <a:xfrm>
                      <a:off x="0" y="0"/>
                      <a:ext cx="7715250" cy="7000875"/>
                    </a:xfrm>
                    <a:prstGeom prst="rect">
                      <a:avLst/>
                    </a:prstGeom>
                  </pic:spPr>
                </pic:pic>
              </a:graphicData>
            </a:graphic>
          </wp:inline>
        </w:drawing>
      </w:r>
    </w:p>
    <w:p>
      <w:pPr>
        <w:wordWrap w:val="off"/>
        <w:spacing w:lineRule="exact" w:line="513"/>
        <w:jc w:val="left"/>
      </w:pPr>
      <w:r>
        <w:rPr>
          <w:rFonts w:ascii="SimSun" w:hAnsi="SimSun" w:cs="SimSun" w:eastAsia="SimSun"/>
          <w:color w:val="000000"/>
          <w:sz w:val="28"/>
        </w:rPr>
        <w:t>2.设备参数见附件1</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 配套服务要求</w:t>
      </w:r>
    </w:p>
    <w:p>
      <w:pPr>
        <w:wordWrap w:val="off"/>
        <w:spacing w:before="0" w:after="0" w:lineRule="exact" w:line="378"/>
        <w:jc w:val="left"/>
      </w:pPr>
      <w:r>
        <w:rPr>
          <w:rFonts w:ascii="宋体" w:hAnsi="宋体" w:cs="宋体" w:eastAsia="宋体"/>
          <w:color w:val="000000"/>
          <w:sz w:val="21"/>
        </w:rPr>
        <w:t>供应商需提供贯穿项目始终的全方位配套服务。</w:t>
      </w:r>
    </w:p>
    <w:p>
      <w:pPr>
        <w:wordWrap w:val="off"/>
        <w:spacing w:before="0" w:after="0" w:lineRule="exact" w:line="378"/>
        <w:jc w:val="left"/>
      </w:pPr>
      <w:r>
        <w:rPr>
          <w:rFonts w:ascii="宋体" w:hAnsi="宋体" w:cs="宋体" w:eastAsia="宋体"/>
          <w:color w:val="000000"/>
          <w:sz w:val="21"/>
        </w:rPr>
        <w:t>包括：专业项目管家负责全程协调与进度跟踪；系统化操作培训，确保用户能安全、规范地使用所有新设备与系统（如通风柜控制、紧急设备）；协助完成必要的政府报备与验收流程。</w:t>
      </w:r>
    </w:p>
    <w:p>
      <w:pPr>
        <w:wordWrap w:val="off"/>
        <w:spacing w:before="0" w:after="0" w:lineRule="exact" w:line="378"/>
        <w:jc w:val="left"/>
      </w:pPr>
      <w:r>
        <w:rPr>
          <w:rFonts w:ascii="宋体" w:hAnsi="宋体" w:cs="宋体" w:eastAsia="宋体"/>
          <w:color w:val="000000"/>
          <w:sz w:val="21"/>
        </w:rPr>
        <w:t>2. 增值服务要求</w:t>
      </w:r>
    </w:p>
    <w:p>
      <w:pPr>
        <w:wordWrap w:val="off"/>
        <w:spacing w:before="0" w:after="0" w:lineRule="exact" w:line="378"/>
        <w:jc w:val="left"/>
      </w:pPr>
      <w:r>
        <w:rPr>
          <w:rFonts w:ascii="宋体" w:hAnsi="宋体" w:cs="宋体" w:eastAsia="宋体"/>
          <w:color w:val="000000"/>
          <w:sz w:val="21"/>
        </w:rPr>
        <w:t>供应商应主动提供超出基础范围的增值方案。例如：基于实验室未来发展的柔性规划建议，为后续改造预留空间；对比分析不同材质与设备的全生命周期成本，辅助决策；在项目结束后，提供一次免费的全面检测与调试，以优化系统性能。</w:t>
      </w:r>
    </w:p>
    <w:p>
      <w:pPr>
        <w:wordWrap w:val="off"/>
        <w:spacing w:before="0" w:after="0" w:lineRule="exact" w:line="378"/>
        <w:jc w:val="left"/>
      </w:pPr>
      <w:r>
        <w:rPr>
          <w:rFonts w:ascii="宋体" w:hAnsi="宋体" w:cs="宋体" w:eastAsia="宋体"/>
          <w:color w:val="000000"/>
          <w:sz w:val="21"/>
        </w:rPr>
        <w:t>3. 维保服务要求</w:t>
      </w:r>
    </w:p>
    <w:p>
      <w:pPr>
        <w:wordWrap w:val="off"/>
        <w:spacing w:before="0" w:after="0" w:lineRule="exact" w:line="378"/>
        <w:jc w:val="left"/>
      </w:pPr>
      <w:r>
        <w:rPr>
          <w:rFonts w:ascii="宋体" w:hAnsi="宋体" w:cs="宋体" w:eastAsia="宋体"/>
          <w:color w:val="000000"/>
          <w:sz w:val="21"/>
        </w:rPr>
        <w:t>必须承诺全面的售后维保。具体包括：提供不低于三年的免费整体质保，关键设备（如通风系统）质保期应延长；针对紧急故障需在24小时内到场处理；质保期后，明确服务内容与响应时效，保障实验室长期稳定运行。</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jc w:val="left"/>
      </w:pPr>
      <w:r>
        <w:rPr>
          <w:rFonts w:ascii="SimSun" w:hAnsi="SimSun" w:cs="SimSun" w:eastAsia="SimSun"/>
          <w:color w:val="000000"/>
          <w:sz w:val="21"/>
        </w:rPr>
        <w:t>一、 文件资料验收</w:t>
      </w:r>
    </w:p>
    <w:p>
      <w:pPr>
        <w:wordWrap w:val="off"/>
        <w:spacing w:lineRule="exact" w:line="378"/>
        <w:jc w:val="left"/>
      </w:pPr>
      <w:r>
        <w:rPr>
          <w:rFonts w:ascii="SimSun" w:hAnsi="SimSun" w:cs="SimSun" w:eastAsia="SimSun"/>
          <w:color w:val="000000"/>
          <w:sz w:val="21"/>
        </w:rPr>
        <w:t>设备安装完成后，供应商必须提交完整、准确的安装调试资料，包括：最终版竣工图纸（涵盖水、电、风、气及平面布局）、主要材料与设备的合格证、质检报告及保修卡、通风柜、实验台等家具的安装与使用说明书，以及系统操作与维护手册。文件齐全、准确是项目验收的前提。</w:t>
      </w:r>
    </w:p>
    <w:p>
      <w:pPr>
        <w:wordWrap w:val="off"/>
        <w:spacing w:lineRule="exact" w:line="378"/>
        <w:jc w:val="left"/>
      </w:pPr>
      <w:r>
        <w:rPr>
          <w:rFonts w:ascii="SimSun" w:hAnsi="SimSun" w:cs="SimSun" w:eastAsia="SimSun"/>
          <w:color w:val="000000"/>
          <w:sz w:val="21"/>
        </w:rPr>
        <w:t>二、 观感与安装质量验收</w:t>
      </w:r>
    </w:p>
    <w:p>
      <w:pPr>
        <w:wordWrap w:val="off"/>
        <w:spacing w:lineRule="exact" w:line="378"/>
        <w:jc w:val="left"/>
      </w:pPr>
      <w:r>
        <w:rPr>
          <w:rFonts w:ascii="SimSun" w:hAnsi="SimSun" w:cs="SimSun" w:eastAsia="SimSun"/>
          <w:color w:val="000000"/>
          <w:sz w:val="21"/>
        </w:rPr>
        <w:t>家具部分：实验台、通风柜、药品柜等安装牢固、水平竖直，柜门及抽屉开合顺畅，无异常噪音。所有板材封边严密，无脱胶、划伤。</w:t>
      </w:r>
    </w:p>
    <w:p>
      <w:pPr>
        <w:wordWrap w:val="off"/>
        <w:spacing w:lineRule="exact" w:line="378"/>
        <w:jc w:val="left"/>
      </w:pPr>
      <w:r>
        <w:rPr>
          <w:rFonts w:ascii="SimSun" w:hAnsi="SimSun" w:cs="SimSun" w:eastAsia="SimSun"/>
          <w:color w:val="000000"/>
          <w:sz w:val="21"/>
        </w:rPr>
        <w:t>通用安装：灯具、开关、插座面板安装端正，无污染。</w:t>
      </w:r>
    </w:p>
    <w:p>
      <w:pPr>
        <w:wordWrap w:val="off"/>
        <w:spacing w:lineRule="exact" w:line="378"/>
        <w:jc w:val="left"/>
      </w:pPr>
      <w:r>
        <w:rPr>
          <w:rFonts w:ascii="SimSun" w:hAnsi="SimSun" w:cs="SimSun" w:eastAsia="SimSun"/>
          <w:color w:val="000000"/>
          <w:sz w:val="21"/>
        </w:rPr>
        <w:t>三、 系统功能与性能测试验收</w:t>
      </w:r>
    </w:p>
    <w:p>
      <w:pPr>
        <w:wordWrap w:val="off"/>
        <w:spacing w:lineRule="exact" w:line="378"/>
        <w:jc w:val="left"/>
      </w:pPr>
      <w:r>
        <w:rPr>
          <w:rFonts w:ascii="SimSun" w:hAnsi="SimSun" w:cs="SimSun" w:eastAsia="SimSun"/>
          <w:color w:val="000000"/>
          <w:sz w:val="21"/>
        </w:rPr>
        <w:t>此为验收核心环节，必须进行现场实测：</w:t>
      </w:r>
    </w:p>
    <w:p>
      <w:pPr>
        <w:wordWrap w:val="off"/>
        <w:spacing w:lineRule="exact" w:line="378"/>
        <w:jc w:val="left"/>
      </w:pPr>
      <w:r>
        <w:rPr>
          <w:rFonts w:ascii="SimSun" w:hAnsi="SimSun" w:cs="SimSun" w:eastAsia="SimSun"/>
          <w:color w:val="000000"/>
          <w:sz w:val="21"/>
        </w:rPr>
        <w:t>1.通风与废气系统：</w:t>
      </w:r>
    </w:p>
    <w:p>
      <w:pPr>
        <w:wordWrap w:val="off"/>
        <w:spacing w:lineRule="exact" w:line="378"/>
        <w:jc w:val="left"/>
      </w:pPr>
      <w:r>
        <w:rPr>
          <w:rFonts w:ascii="SimSun" w:hAnsi="SimSun" w:cs="SimSun" w:eastAsia="SimSun"/>
          <w:color w:val="000000"/>
          <w:sz w:val="21"/>
        </w:rPr>
        <w:t>通风柜：在操作门开启至标准高度时，使用风速仪测量面风速，需稳定在0.4-0.6 m/s的范围内，且气流均匀，无涡流。同时运行噪音应低于65分贝。</w:t>
      </w:r>
    </w:p>
    <w:p>
      <w:pPr>
        <w:wordWrap w:val="off"/>
        <w:spacing w:lineRule="exact" w:line="378"/>
        <w:jc w:val="left"/>
      </w:pPr>
      <w:r>
        <w:rPr>
          <w:rFonts w:ascii="SimSun" w:hAnsi="SimSun" w:cs="SimSun" w:eastAsia="SimSun"/>
          <w:color w:val="000000"/>
          <w:sz w:val="21"/>
        </w:rPr>
        <w:t>房间换气：实验室整体换气次数必须达到设计值（通常为6-12次/小时），确保室内空气清新，无异味滞留。</w:t>
      </w:r>
    </w:p>
    <w:p>
      <w:pPr>
        <w:wordWrap w:val="off"/>
        <w:spacing w:lineRule="exact" w:line="378"/>
        <w:jc w:val="left"/>
      </w:pPr>
      <w:r>
        <w:rPr>
          <w:rFonts w:ascii="SimSun" w:hAnsi="SimSun" w:cs="SimSun" w:eastAsia="SimSun"/>
          <w:color w:val="000000"/>
          <w:sz w:val="21"/>
        </w:rPr>
        <w:t>2.电气系统：</w:t>
      </w:r>
    </w:p>
    <w:p>
      <w:pPr>
        <w:wordWrap w:val="off"/>
        <w:spacing w:lineRule="exact" w:line="378"/>
        <w:jc w:val="left"/>
      </w:pPr>
      <w:r>
        <w:rPr>
          <w:rFonts w:ascii="SimSun" w:hAnsi="SimSun" w:cs="SimSun" w:eastAsia="SimSun"/>
          <w:color w:val="000000"/>
          <w:sz w:val="21"/>
        </w:rPr>
        <w:t>使用相位检测仪确认所有插座“左零右火地线通”，电压稳定。</w:t>
      </w:r>
    </w:p>
    <w:p>
      <w:pPr>
        <w:wordWrap w:val="off"/>
        <w:spacing w:lineRule="exact" w:line="378"/>
        <w:jc w:val="left"/>
      </w:pPr>
      <w:r>
        <w:rPr>
          <w:rFonts w:ascii="SimSun" w:hAnsi="SimSun" w:cs="SimSun" w:eastAsia="SimSun"/>
          <w:color w:val="000000"/>
          <w:sz w:val="21"/>
        </w:rPr>
        <w:t>普通照明与应急照明系统工作正常，断电后应急照明能自动点亮，持续时间符合规范。</w:t>
      </w:r>
    </w:p>
    <w:p>
      <w:pPr>
        <w:wordWrap w:val="off"/>
        <w:spacing w:lineRule="exact" w:line="378"/>
        <w:jc w:val="left"/>
      </w:pPr>
      <w:r>
        <w:rPr>
          <w:rFonts w:ascii="SimSun" w:hAnsi="SimSun" w:cs="SimSun" w:eastAsia="SimSun"/>
          <w:color w:val="000000"/>
          <w:sz w:val="21"/>
        </w:rPr>
        <w:t>3.给排水与气路系统：</w:t>
      </w:r>
    </w:p>
    <w:p>
      <w:pPr>
        <w:wordWrap w:val="off"/>
        <w:spacing w:lineRule="exact" w:line="378"/>
        <w:jc w:val="left"/>
      </w:pPr>
      <w:r>
        <w:rPr>
          <w:rFonts w:ascii="SimSun" w:hAnsi="SimSun" w:cs="SimSun" w:eastAsia="SimSun"/>
          <w:color w:val="000000"/>
          <w:sz w:val="21"/>
        </w:rPr>
        <w:t>给排水：进行通水、加压测试，确保所有水龙头出水正常，下水管道畅通无阻，接口处无渗漏。地漏的防水与防臭功能需验证。</w:t>
      </w:r>
    </w:p>
    <w:p>
      <w:pPr>
        <w:wordWrap w:val="off"/>
        <w:spacing w:lineRule="exact" w:line="378"/>
        <w:jc w:val="left"/>
      </w:pPr>
      <w:r>
        <w:rPr>
          <w:rFonts w:ascii="SimSun" w:hAnsi="SimSun" w:cs="SimSun" w:eastAsia="SimSun"/>
          <w:color w:val="000000"/>
          <w:sz w:val="21"/>
        </w:rPr>
        <w:t>气路：对所有气体管道进行保压测试（通常为1.2倍工作压力，保持24小时），压力降需在允许范围内。对所有接口使用检漏液进行密封性测试，确保绝对无泄漏。</w:t>
      </w:r>
    </w:p>
    <w:p>
      <w:pPr>
        <w:wordWrap w:val="off"/>
        <w:spacing w:lineRule="exact" w:line="378"/>
        <w:jc w:val="left"/>
      </w:pPr>
      <w:r>
        <w:rPr>
          <w:rFonts w:ascii="SimSun" w:hAnsi="SimSun" w:cs="SimSun" w:eastAsia="SimSun"/>
          <w:color w:val="000000"/>
          <w:sz w:val="21"/>
        </w:rPr>
        <w:t>4.安全设施：</w:t>
      </w:r>
    </w:p>
    <w:p>
      <w:pPr>
        <w:wordWrap w:val="off"/>
        <w:spacing w:lineRule="exact" w:line="378"/>
        <w:jc w:val="left"/>
      </w:pPr>
      <w:r>
        <w:rPr>
          <w:rFonts w:ascii="SimSun" w:hAnsi="SimSun" w:cs="SimSun" w:eastAsia="SimSun"/>
          <w:color w:val="000000"/>
          <w:sz w:val="21"/>
        </w:rPr>
        <w:t>紧急冲淋装置：测试冲淋器和洗眼器，要求出水顺畅、水量充足，水压柔和，且响应时间（出水时间）符合ANSI Z358.1标准（通常为1秒内）。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30个工作日内向乙方付清应付款项</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投标产品技术参数与功能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任何一项“★”的技术指标为实质性参数，不允许发生偏离。性能指标与招标需求一致的，得分28分；任何一项“★”的重要性能指标低于招标需求（负偏离）的，每低于一项扣3分，其他性能指标低于招标需求（负偏离）的，每低于一项扣1分，扣完为止。</w:t>
            </w:r>
          </w:p>
          <w:p>
            <w:pPr>
              <w:wordWrap w:val="off"/>
              <w:spacing w:before="0" w:after="0" w:lineRule="exact" w:line="378"/>
              <w:jc w:val="left"/>
            </w:pPr>
            <w:r>
              <w:rPr>
                <w:rFonts w:ascii="宋体" w:hAnsi="宋体" w:cs="宋体" w:eastAsia="宋体"/>
                <w:color w:val="000000"/>
                <w:sz w:val="21"/>
              </w:rPr>
              <w:t>所有标★参数需提供国家认可的第三方检测机构出具的带有CMA和CNAS章的检测报告，无报告不得分。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28</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项目施工方案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由招标小组根据供应商的项目施工方案（包括施工质量、工期进度、安全文明施工技术方案和措施）全面性、可行性、合理性进行评定。施工方案内容全面合理可行，针对性强得4-5分；施工方案内容基本全面合理可行，有一定针对性得2-4分；施工方案内容有缺漏、方案欠合理，无针对性得0-2分；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设备安装调试方案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安装流程合理、人员分工明确、时间节点安排妥当、方案和措施科学有效的，得4-5分；安装流程较合理、人员分工较明确、时间节点安排较妥当、方案和措施科学较有效的，得2-4分；安装流程欠缺合理性、人员分工不太明确、时间节点安排欠缺、方案和措施科学性欠缺的，得0-2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应急响应服务方案措施</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应急响应服务方案措施全面、合理、到位的得4-5分；应急响应服务方案措施基本全面可行的得2-4分；应急响应服务方案措施不全面、针对性差的得0-2分。未提供不得分。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企业实力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1.供应商具有实验室建设产品相关专利，每个得1分，最高得2分。（提供证明材料复印件加盖公章）</w:t>
            </w:r>
          </w:p>
          <w:p>
            <w:pPr>
              <w:wordWrap w:val="off"/>
              <w:spacing w:before="0" w:after="0" w:lineRule="exact" w:line="378"/>
              <w:jc w:val="left"/>
            </w:pPr>
            <w:r>
              <w:rPr>
                <w:rFonts w:ascii="宋体" w:hAnsi="宋体" w:cs="宋体" w:eastAsia="宋体"/>
                <w:color w:val="000000"/>
                <w:sz w:val="21"/>
              </w:rPr>
              <w:t>2.供应商具有质量管理体系认证、职业健康安全体系认证、环境管理体系认证且在有效期内，每提供1个证书得1分，最高得3分。（须提供相关证书复印件加盖公章，不提供不得分）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质保期内服务方案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（1）质保期超过招标文件规定，每增加1年得1分，最高得5分。</w:t>
            </w:r>
          </w:p>
          <w:p>
            <w:pPr>
              <w:wordWrap w:val="off"/>
              <w:spacing w:before="0" w:after="0" w:lineRule="exact" w:line="378"/>
              <w:jc w:val="left"/>
            </w:pPr>
            <w:r>
              <w:rPr>
                <w:rFonts w:ascii="宋体" w:hAnsi="宋体" w:cs="宋体" w:eastAsia="宋体"/>
                <w:color w:val="000000"/>
                <w:sz w:val="21"/>
              </w:rPr>
              <w:t>（2）投标人质保期内针对本项目有完善的跟踪服务流程及方案的，得4-5分；售后服务流程及方案较好的，得2-4分；售后服务流程及方案欠缺的，得0-2分。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服务承诺及响应时间</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根据供应商承诺的现场响应时间评定， 1小时内现场响应得 2分，2小时内现场响应得 1分，本项最高得 2 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拟派项目负责人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（1）拟派项目负责人具备中级工程师及以上职称证书的得2分。</w:t>
            </w:r>
          </w:p>
          <w:p>
            <w:pPr>
              <w:wordWrap w:val="off"/>
              <w:spacing w:before="0" w:after="0" w:lineRule="exact" w:line="378"/>
              <w:jc w:val="left"/>
            </w:pPr>
            <w:r>
              <w:rPr>
                <w:rFonts w:ascii="宋体" w:hAnsi="宋体" w:cs="宋体" w:eastAsia="宋体"/>
                <w:color w:val="000000"/>
                <w:sz w:val="21"/>
              </w:rPr>
              <w:t>注:需提供有效的证书及响应截止日期前三个月任意其中一个月的社保缴费证明材料加盖公章，缴费单位和响应人名称必须一致；配备的人员如为退休人员的，可不用提供社保证明，但须同时提供退休证明和聘任合同。</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拟派项目人员</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拟派本项目人员（项目负责人除外）中，每有1人具备电工证书、焊工证书、通风工、登高工、油漆工、木工证，每个得1分，最高得6分；同一人员具备不同证书可重复得分。</w:t>
            </w:r>
          </w:p>
          <w:p>
            <w:pPr>
              <w:wordWrap w:val="off"/>
              <w:spacing w:before="0" w:after="0" w:lineRule="exact" w:line="378"/>
              <w:jc w:val="left"/>
            </w:pPr>
            <w:r>
              <w:rPr>
                <w:rFonts w:ascii="宋体" w:hAnsi="宋体" w:cs="宋体" w:eastAsia="宋体"/>
                <w:color w:val="000000"/>
                <w:sz w:val="21"/>
              </w:rPr>
              <w:t>（提供相关人员相关证书及磋商响应截止日期前三个月任意其中一个月的社保缴费证明材料加盖公章，缴费单位和磋商响应人名称必须一致，不提供不得分）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环保节能政策</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投标产品具有绿色产品认证证书，每提供一个得0.5分，最高2分。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投标产品技术参数与功能</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rPr>
        <w:t>湖州师范学院</w:t>
      </w:r>
      <w:r>
        <w:rPr>
          <w:rFonts w:ascii="宋体" w:hAnsi="宋体" w:cs="宋体" w:eastAsia="宋体"/>
          <w:b w:val="true"/>
          <w:color w:val="000000"/>
          <w:sz w:val="36"/>
          <w:u w:val="single"/>
        </w:rPr>
        <w:t>医学院（护理学院）生物合成实验室货物采购项目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xz2025-N0045</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医学院（护理学院）生物合成实验室货物采购项目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生物合成实验室设备</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 配套服务要求</w:t>
      </w:r>
    </w:p>
    <w:p>
      <w:pPr>
        <w:wordWrap w:val="off"/>
        <w:spacing w:before="0" w:after="0" w:lineRule="exact" w:line="378"/>
        <w:jc w:val="left"/>
      </w:pPr>
      <w:r>
        <w:rPr>
          <w:rFonts w:ascii="宋体" w:hAnsi="宋体" w:cs="宋体" w:eastAsia="宋体"/>
          <w:color w:val="000000"/>
          <w:sz w:val="21"/>
        </w:rPr>
        <w:t>供应商需提供贯穿项目始终的全方位配套服务。</w:t>
      </w:r>
    </w:p>
    <w:p>
      <w:pPr>
        <w:wordWrap w:val="off"/>
        <w:spacing w:before="0" w:after="0" w:lineRule="exact" w:line="378"/>
        <w:jc w:val="left"/>
      </w:pPr>
      <w:r>
        <w:rPr>
          <w:rFonts w:ascii="宋体" w:hAnsi="宋体" w:cs="宋体" w:eastAsia="宋体"/>
          <w:color w:val="000000"/>
          <w:sz w:val="21"/>
        </w:rPr>
        <w:t>包括：专业项目管家负责全程协调与进度跟踪；系统化操作培训，确保用户能安全、规范地使用所有新设备与系统（如通风柜控制、紧急设备）；协助完成必要的政府报备与验收流程。</w:t>
      </w:r>
    </w:p>
    <w:p>
      <w:pPr>
        <w:wordWrap w:val="off"/>
        <w:spacing w:before="0" w:after="0" w:lineRule="exact" w:line="378"/>
        <w:jc w:val="left"/>
      </w:pPr>
      <w:r>
        <w:rPr>
          <w:rFonts w:ascii="宋体" w:hAnsi="宋体" w:cs="宋体" w:eastAsia="宋体"/>
          <w:color w:val="000000"/>
          <w:sz w:val="21"/>
        </w:rPr>
        <w:t>2. 增值服务要求</w:t>
      </w:r>
    </w:p>
    <w:p>
      <w:pPr>
        <w:wordWrap w:val="off"/>
        <w:spacing w:before="0" w:after="0" w:lineRule="exact" w:line="378"/>
        <w:jc w:val="left"/>
      </w:pPr>
      <w:r>
        <w:rPr>
          <w:rFonts w:ascii="宋体" w:hAnsi="宋体" w:cs="宋体" w:eastAsia="宋体"/>
          <w:color w:val="000000"/>
          <w:sz w:val="21"/>
        </w:rPr>
        <w:t>供应商应主动提供超出基础范围的增值方案。例如：基于实验室未来发展的柔性规划建议，为后续改造预留空间；对比分析不同材质与设备的全生命周期成本，辅助决策；在项目结束后，提供一次免费的全面检测与调试，以优化系统性能。</w:t>
      </w:r>
    </w:p>
    <w:p>
      <w:pPr>
        <w:wordWrap w:val="off"/>
        <w:spacing w:before="0" w:after="0" w:lineRule="exact" w:line="378"/>
        <w:jc w:val="left"/>
      </w:pPr>
      <w:r>
        <w:rPr>
          <w:rFonts w:ascii="宋体" w:hAnsi="宋体" w:cs="宋体" w:eastAsia="宋体"/>
          <w:color w:val="000000"/>
          <w:sz w:val="21"/>
        </w:rPr>
        <w:t>3. 维保服务要求</w:t>
      </w:r>
    </w:p>
    <w:p>
      <w:pPr>
        <w:wordWrap w:val="off"/>
        <w:spacing w:before="0" w:after="0" w:lineRule="exact" w:line="378"/>
        <w:jc w:val="left"/>
      </w:pPr>
      <w:r>
        <w:rPr>
          <w:rFonts w:ascii="宋体" w:hAnsi="宋体" w:cs="宋体" w:eastAsia="宋体"/>
          <w:color w:val="000000"/>
          <w:sz w:val="21"/>
        </w:rPr>
        <w:t>必须承诺全面的售后维保。具体包括：提供不低于三年的免费整体质保，关键设备（如通风系统）质保期应延长；针对紧急故障需在24小时内到场处理；质保期后，明确服务内容与响应时效，保障实验室长期稳定运行。</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30个工作日内向乙方付清应付款项</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医学院27-501</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医学院（护理学院）生物合成实验室货物采购项目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ZJHU20251104065</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生物合成实验室设备</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具体见附件1</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见附件1</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1、请自行提供报价清单</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医学院（护理学院）生物合成实验室货物采购项目</w:t>
      </w:r>
      <w:r>
        <w:rPr>
          <w:rFonts w:ascii="宋体" w:hAnsi="宋体" w:cs="宋体" w:eastAsia="宋体"/>
          <w:color w:val="000000"/>
          <w:sz w:val="21"/>
        </w:rPr>
        <w:t>(项目编号：</w:t>
      </w:r>
      <w:r>
        <w:rPr>
          <w:rFonts w:ascii="宋体" w:hAnsi="宋体" w:cs="宋体" w:eastAsia="宋体"/>
          <w:color w:val="000000"/>
          <w:sz w:val="21"/>
          <w:u w:val="single"/>
        </w:rPr>
        <w:t>ZJHU20251104065</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医学院（护理学院）生物合成实验室货物采购项目</w:t>
      </w:r>
      <w:r>
        <w:rPr>
          <w:rFonts w:ascii="宋体" w:hAnsi="宋体" w:cs="宋体" w:eastAsia="宋体"/>
          <w:color w:val="000000"/>
          <w:sz w:val="21"/>
        </w:rPr>
        <w:t>（项目名称）</w:t>
      </w:r>
      <w:r>
        <w:rPr>
          <w:rFonts w:ascii="宋体" w:hAnsi="宋体" w:cs="宋体" w:eastAsia="宋体"/>
          <w:color w:val="000000"/>
          <w:sz w:val="21"/>
        </w:rPr>
        <w:t>ZJHU20251104065</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2、技术响应表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ZJHU20251104065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技术响应表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media/image1.png" Type="http://schemas.openxmlformats.org/officeDocument/2006/relationships/image"/>
<Relationship Id="rId3" Target="header1.xml" Type="http://schemas.openxmlformats.org/officeDocument/2006/relationships/header"/>
<Relationship Id="rId4"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2025-11-18T06:08:51Z</dcterms:created>
  <dc:creator>Apache POI</dc:creator>
</cp:coreProperties>
</file>