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6DBABC">
      <w:pPr>
        <w:spacing w:before="0" w:after="0" w:line="1920" w:lineRule="exact"/>
      </w:pPr>
    </w:p>
    <w:p w14:paraId="53534CDF">
      <w:pPr>
        <w:wordWrap w:val="0"/>
        <w:spacing w:before="49" w:after="49"/>
        <w:jc w:val="center"/>
      </w:pPr>
      <w:r>
        <w:rPr>
          <w:rFonts w:ascii="宋体" w:hAnsi="宋体" w:eastAsia="宋体" w:cs="宋体"/>
          <w:b/>
          <w:color w:val="000000"/>
          <w:sz w:val="72"/>
        </w:rPr>
        <w:t>湖州师范学院</w:t>
      </w:r>
    </w:p>
    <w:p w14:paraId="4DC4496D">
      <w:pPr>
        <w:spacing w:before="0" w:after="0" w:line="225" w:lineRule="exact"/>
      </w:pPr>
    </w:p>
    <w:p w14:paraId="08429F56">
      <w:pPr>
        <w:wordWrap w:val="0"/>
        <w:jc w:val="center"/>
      </w:pPr>
      <w:r>
        <w:rPr>
          <w:rFonts w:ascii="宋体" w:hAnsi="宋体" w:eastAsia="宋体" w:cs="宋体"/>
          <w:b/>
          <w:color w:val="000000"/>
          <w:sz w:val="72"/>
        </w:rPr>
        <w:t>单一来源谈判文件</w:t>
      </w:r>
    </w:p>
    <w:p w14:paraId="455EFCEA">
      <w:pPr>
        <w:spacing w:before="0" w:after="0" w:line="225" w:lineRule="exact"/>
      </w:pPr>
    </w:p>
    <w:p w14:paraId="42110411">
      <w:pPr>
        <w:spacing w:before="0" w:after="0" w:line="3540" w:lineRule="exact"/>
      </w:pPr>
    </w:p>
    <w:tbl>
      <w:tblPr>
        <w:tblStyle w:val="2"/>
        <w:tblW w:w="9585"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165"/>
        <w:gridCol w:w="1785"/>
        <w:gridCol w:w="7470"/>
        <w:gridCol w:w="165"/>
      </w:tblGrid>
      <w:tr w14:paraId="216F7CC3">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80" w:hRule="atLeast"/>
          <w:jc w:val="center"/>
        </w:trPr>
        <w:tc>
          <w:tcPr>
            <w:tcW w:w="165" w:type="dxa"/>
            <w:tcBorders>
              <w:top w:val="nil"/>
              <w:left w:val="nil"/>
              <w:bottom w:val="nil"/>
              <w:right w:val="nil"/>
            </w:tcBorders>
            <w:tcMar>
              <w:top w:w="20" w:type="dxa"/>
              <w:left w:w="20" w:type="dxa"/>
              <w:bottom w:w="20" w:type="dxa"/>
              <w:right w:w="20" w:type="dxa"/>
            </w:tcMar>
            <w:vAlign w:val="center"/>
          </w:tcPr>
          <w:p w14:paraId="1F9BF711">
            <w:pPr>
              <w:wordWrap w:val="0"/>
            </w:pPr>
          </w:p>
        </w:tc>
        <w:tc>
          <w:tcPr>
            <w:tcW w:w="1785" w:type="dxa"/>
            <w:tcBorders>
              <w:top w:val="nil"/>
              <w:left w:val="nil"/>
              <w:bottom w:val="nil"/>
              <w:right w:val="nil"/>
            </w:tcBorders>
            <w:tcMar>
              <w:top w:w="20" w:type="dxa"/>
              <w:left w:w="20" w:type="dxa"/>
              <w:bottom w:w="20" w:type="dxa"/>
              <w:right w:w="20" w:type="dxa"/>
            </w:tcMar>
            <w:vAlign w:val="bottom"/>
          </w:tcPr>
          <w:p w14:paraId="0B4C8EDB">
            <w:pPr>
              <w:wordWrap w:val="0"/>
              <w:spacing w:after="0" w:line="540" w:lineRule="exact"/>
              <w:jc w:val="right"/>
            </w:pPr>
            <w:r>
              <w:rPr>
                <w:rFonts w:ascii="宋体" w:hAnsi="宋体" w:eastAsia="宋体" w:cs="宋体"/>
                <w:b/>
                <w:color w:val="000000"/>
                <w:sz w:val="30"/>
              </w:rPr>
              <w:t>采购方式：</w:t>
            </w:r>
          </w:p>
        </w:tc>
        <w:tc>
          <w:tcPr>
            <w:tcW w:w="7470" w:type="dxa"/>
            <w:tcBorders>
              <w:top w:val="nil"/>
              <w:left w:val="nil"/>
              <w:bottom w:val="nil"/>
              <w:right w:val="nil"/>
            </w:tcBorders>
            <w:tcMar>
              <w:top w:w="20" w:type="dxa"/>
              <w:left w:w="20" w:type="dxa"/>
              <w:bottom w:w="20" w:type="dxa"/>
              <w:right w:w="20" w:type="dxa"/>
            </w:tcMar>
            <w:vAlign w:val="center"/>
          </w:tcPr>
          <w:p w14:paraId="1A5133CB">
            <w:pPr>
              <w:wordWrap w:val="0"/>
              <w:spacing w:after="0" w:line="540" w:lineRule="exact"/>
              <w:jc w:val="left"/>
            </w:pPr>
            <w:r>
              <w:rPr>
                <w:rFonts w:ascii="宋体" w:hAnsi="宋体" w:eastAsia="宋体" w:cs="宋体"/>
                <w:b/>
                <w:color w:val="000000"/>
                <w:sz w:val="30"/>
              </w:rPr>
              <w:t>单一来源</w:t>
            </w:r>
          </w:p>
        </w:tc>
        <w:tc>
          <w:tcPr>
            <w:tcW w:w="165" w:type="dxa"/>
            <w:tcBorders>
              <w:top w:val="nil"/>
              <w:left w:val="nil"/>
              <w:bottom w:val="nil"/>
              <w:right w:val="nil"/>
            </w:tcBorders>
            <w:tcMar>
              <w:top w:w="20" w:type="dxa"/>
              <w:left w:w="20" w:type="dxa"/>
              <w:bottom w:w="20" w:type="dxa"/>
              <w:right w:w="20" w:type="dxa"/>
            </w:tcMar>
            <w:vAlign w:val="center"/>
          </w:tcPr>
          <w:p w14:paraId="466BD7C4">
            <w:pPr>
              <w:wordWrap w:val="0"/>
            </w:pPr>
          </w:p>
        </w:tc>
      </w:tr>
      <w:tr w14:paraId="6D450AB7">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80" w:hRule="atLeast"/>
          <w:jc w:val="center"/>
        </w:trPr>
        <w:tc>
          <w:tcPr>
            <w:tcW w:w="165" w:type="dxa"/>
            <w:tcBorders>
              <w:top w:val="nil"/>
              <w:left w:val="nil"/>
              <w:bottom w:val="nil"/>
              <w:right w:val="nil"/>
            </w:tcBorders>
            <w:tcMar>
              <w:top w:w="20" w:type="dxa"/>
              <w:left w:w="20" w:type="dxa"/>
              <w:bottom w:w="20" w:type="dxa"/>
              <w:right w:w="20" w:type="dxa"/>
            </w:tcMar>
            <w:vAlign w:val="center"/>
          </w:tcPr>
          <w:p w14:paraId="07B9B758">
            <w:pPr>
              <w:wordWrap w:val="0"/>
            </w:pPr>
          </w:p>
        </w:tc>
        <w:tc>
          <w:tcPr>
            <w:tcW w:w="1785" w:type="dxa"/>
            <w:tcBorders>
              <w:top w:val="nil"/>
              <w:left w:val="nil"/>
              <w:bottom w:val="nil"/>
              <w:right w:val="nil"/>
            </w:tcBorders>
            <w:tcMar>
              <w:top w:w="20" w:type="dxa"/>
              <w:left w:w="20" w:type="dxa"/>
              <w:bottom w:w="20" w:type="dxa"/>
              <w:right w:w="20" w:type="dxa"/>
            </w:tcMar>
            <w:vAlign w:val="bottom"/>
          </w:tcPr>
          <w:p w14:paraId="6A94B89B">
            <w:pPr>
              <w:wordWrap w:val="0"/>
              <w:spacing w:after="0" w:line="540" w:lineRule="exact"/>
              <w:jc w:val="right"/>
            </w:pPr>
            <w:r>
              <w:rPr>
                <w:rFonts w:ascii="宋体" w:hAnsi="宋体" w:eastAsia="宋体" w:cs="宋体"/>
                <w:b/>
                <w:color w:val="000000"/>
                <w:sz w:val="30"/>
              </w:rPr>
              <w:t>项目编号：</w:t>
            </w:r>
          </w:p>
        </w:tc>
        <w:tc>
          <w:tcPr>
            <w:tcW w:w="7470" w:type="dxa"/>
            <w:tcBorders>
              <w:top w:val="single" w:color="808080" w:sz="6" w:space="0"/>
              <w:left w:val="nil"/>
              <w:bottom w:val="nil"/>
              <w:right w:val="nil"/>
            </w:tcBorders>
            <w:tcMar>
              <w:top w:w="20" w:type="dxa"/>
              <w:left w:w="20" w:type="dxa"/>
              <w:bottom w:w="20" w:type="dxa"/>
              <w:right w:w="20" w:type="dxa"/>
            </w:tcMar>
            <w:vAlign w:val="center"/>
          </w:tcPr>
          <w:p w14:paraId="3492D98D">
            <w:pPr>
              <w:wordWrap w:val="0"/>
              <w:spacing w:after="0" w:line="540" w:lineRule="exact"/>
              <w:jc w:val="left"/>
            </w:pPr>
            <w:r>
              <w:rPr>
                <w:rFonts w:ascii="宋体" w:hAnsi="宋体" w:eastAsia="宋体" w:cs="宋体"/>
                <w:b/>
                <w:color w:val="000000"/>
                <w:sz w:val="30"/>
              </w:rPr>
              <w:t>ZJHU20251017053</w:t>
            </w:r>
          </w:p>
        </w:tc>
        <w:tc>
          <w:tcPr>
            <w:tcW w:w="165" w:type="dxa"/>
            <w:tcBorders>
              <w:top w:val="nil"/>
              <w:left w:val="nil"/>
              <w:bottom w:val="nil"/>
              <w:right w:val="nil"/>
            </w:tcBorders>
            <w:tcMar>
              <w:top w:w="20" w:type="dxa"/>
              <w:left w:w="20" w:type="dxa"/>
              <w:bottom w:w="20" w:type="dxa"/>
              <w:right w:w="20" w:type="dxa"/>
            </w:tcMar>
            <w:vAlign w:val="center"/>
          </w:tcPr>
          <w:p w14:paraId="2AC00FE5">
            <w:pPr>
              <w:wordWrap w:val="0"/>
            </w:pPr>
          </w:p>
        </w:tc>
      </w:tr>
      <w:tr w14:paraId="2A7C3130">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80" w:hRule="atLeast"/>
          <w:jc w:val="center"/>
        </w:trPr>
        <w:tc>
          <w:tcPr>
            <w:tcW w:w="165" w:type="dxa"/>
            <w:tcBorders>
              <w:top w:val="nil"/>
              <w:left w:val="nil"/>
              <w:bottom w:val="nil"/>
              <w:right w:val="nil"/>
            </w:tcBorders>
            <w:tcMar>
              <w:top w:w="20" w:type="dxa"/>
              <w:left w:w="20" w:type="dxa"/>
              <w:bottom w:w="20" w:type="dxa"/>
              <w:right w:w="20" w:type="dxa"/>
            </w:tcMar>
            <w:vAlign w:val="center"/>
          </w:tcPr>
          <w:p w14:paraId="2A65E275">
            <w:pPr>
              <w:wordWrap w:val="0"/>
            </w:pPr>
          </w:p>
        </w:tc>
        <w:tc>
          <w:tcPr>
            <w:tcW w:w="1785" w:type="dxa"/>
            <w:tcBorders>
              <w:top w:val="nil"/>
              <w:left w:val="nil"/>
              <w:bottom w:val="nil"/>
              <w:right w:val="nil"/>
            </w:tcBorders>
            <w:tcMar>
              <w:top w:w="20" w:type="dxa"/>
              <w:left w:w="20" w:type="dxa"/>
              <w:bottom w:w="20" w:type="dxa"/>
              <w:right w:w="20" w:type="dxa"/>
            </w:tcMar>
            <w:vAlign w:val="bottom"/>
          </w:tcPr>
          <w:p w14:paraId="0CB3B8CB">
            <w:pPr>
              <w:wordWrap w:val="0"/>
              <w:spacing w:after="0" w:line="540" w:lineRule="exact"/>
              <w:jc w:val="right"/>
            </w:pPr>
            <w:r>
              <w:rPr>
                <w:rFonts w:ascii="宋体" w:hAnsi="宋体" w:eastAsia="宋体" w:cs="宋体"/>
                <w:b/>
                <w:color w:val="000000"/>
                <w:sz w:val="30"/>
              </w:rPr>
              <w:t>项目名称：</w:t>
            </w:r>
          </w:p>
        </w:tc>
        <w:tc>
          <w:tcPr>
            <w:tcW w:w="7470" w:type="dxa"/>
            <w:tcBorders>
              <w:top w:val="single" w:color="808080" w:sz="6" w:space="0"/>
              <w:left w:val="nil"/>
              <w:bottom w:val="nil"/>
              <w:right w:val="nil"/>
            </w:tcBorders>
            <w:tcMar>
              <w:top w:w="20" w:type="dxa"/>
              <w:left w:w="20" w:type="dxa"/>
              <w:bottom w:w="20" w:type="dxa"/>
              <w:right w:w="20" w:type="dxa"/>
            </w:tcMar>
            <w:vAlign w:val="center"/>
          </w:tcPr>
          <w:p w14:paraId="10E42905">
            <w:pPr>
              <w:wordWrap w:val="0"/>
              <w:spacing w:after="0" w:line="540" w:lineRule="exact"/>
              <w:jc w:val="left"/>
            </w:pPr>
            <w:r>
              <w:rPr>
                <w:rFonts w:ascii="宋体" w:hAnsi="宋体" w:eastAsia="宋体" w:cs="宋体"/>
                <w:b/>
                <w:color w:val="000000"/>
                <w:sz w:val="30"/>
              </w:rPr>
              <w:t>发展规划处关于学校办学质量与发展战略评价采购项目</w:t>
            </w:r>
          </w:p>
        </w:tc>
        <w:tc>
          <w:tcPr>
            <w:tcW w:w="165" w:type="dxa"/>
            <w:tcBorders>
              <w:top w:val="nil"/>
              <w:left w:val="nil"/>
              <w:bottom w:val="nil"/>
              <w:right w:val="nil"/>
            </w:tcBorders>
            <w:tcMar>
              <w:top w:w="20" w:type="dxa"/>
              <w:left w:w="20" w:type="dxa"/>
              <w:bottom w:w="20" w:type="dxa"/>
              <w:right w:w="20" w:type="dxa"/>
            </w:tcMar>
            <w:vAlign w:val="center"/>
          </w:tcPr>
          <w:p w14:paraId="25927CA1">
            <w:pPr>
              <w:wordWrap w:val="0"/>
            </w:pPr>
          </w:p>
        </w:tc>
      </w:tr>
      <w:tr w14:paraId="2B72A87C">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195" w:hRule="exact"/>
          <w:jc w:val="center"/>
        </w:trPr>
        <w:tc>
          <w:tcPr>
            <w:tcW w:w="165" w:type="dxa"/>
            <w:tcBorders>
              <w:top w:val="nil"/>
              <w:left w:val="nil"/>
              <w:bottom w:val="nil"/>
              <w:right w:val="nil"/>
            </w:tcBorders>
            <w:tcMar>
              <w:top w:w="20" w:type="dxa"/>
              <w:left w:w="20" w:type="dxa"/>
              <w:bottom w:w="20" w:type="dxa"/>
              <w:right w:w="20" w:type="dxa"/>
            </w:tcMar>
            <w:vAlign w:val="bottom"/>
          </w:tcPr>
          <w:p w14:paraId="1C6F03C7">
            <w:pPr>
              <w:wordWrap w:val="0"/>
            </w:pPr>
          </w:p>
        </w:tc>
        <w:tc>
          <w:tcPr>
            <w:tcW w:w="1785" w:type="dxa"/>
            <w:tcBorders>
              <w:top w:val="nil"/>
              <w:left w:val="nil"/>
              <w:bottom w:val="nil"/>
              <w:right w:val="nil"/>
            </w:tcBorders>
            <w:tcMar>
              <w:top w:w="20" w:type="dxa"/>
              <w:left w:w="20" w:type="dxa"/>
              <w:bottom w:w="20" w:type="dxa"/>
              <w:right w:w="20" w:type="dxa"/>
            </w:tcMar>
            <w:vAlign w:val="bottom"/>
          </w:tcPr>
          <w:p w14:paraId="63344F7B">
            <w:pPr>
              <w:wordWrap w:val="0"/>
            </w:pPr>
          </w:p>
        </w:tc>
        <w:tc>
          <w:tcPr>
            <w:tcW w:w="7470" w:type="dxa"/>
            <w:tcBorders>
              <w:top w:val="single" w:color="808080" w:sz="6" w:space="0"/>
              <w:left w:val="nil"/>
              <w:bottom w:val="nil"/>
              <w:right w:val="nil"/>
            </w:tcBorders>
            <w:tcMar>
              <w:top w:w="20" w:type="dxa"/>
              <w:left w:w="20" w:type="dxa"/>
              <w:bottom w:w="20" w:type="dxa"/>
              <w:right w:w="20" w:type="dxa"/>
            </w:tcMar>
            <w:vAlign w:val="bottom"/>
          </w:tcPr>
          <w:p w14:paraId="69728648">
            <w:pPr>
              <w:wordWrap w:val="0"/>
            </w:pPr>
          </w:p>
        </w:tc>
        <w:tc>
          <w:tcPr>
            <w:tcW w:w="165" w:type="dxa"/>
            <w:tcBorders>
              <w:top w:val="nil"/>
              <w:left w:val="nil"/>
              <w:bottom w:val="nil"/>
              <w:right w:val="nil"/>
            </w:tcBorders>
            <w:tcMar>
              <w:top w:w="20" w:type="dxa"/>
              <w:left w:w="20" w:type="dxa"/>
              <w:bottom w:w="20" w:type="dxa"/>
              <w:right w:w="20" w:type="dxa"/>
            </w:tcMar>
            <w:vAlign w:val="bottom"/>
          </w:tcPr>
          <w:p w14:paraId="1FDC3299">
            <w:pPr>
              <w:wordWrap w:val="0"/>
            </w:pPr>
          </w:p>
        </w:tc>
      </w:tr>
    </w:tbl>
    <w:p w14:paraId="0B8F4CE3">
      <w:pPr>
        <w:spacing w:before="0" w:after="0" w:line="1350" w:lineRule="exact"/>
      </w:pPr>
    </w:p>
    <w:p w14:paraId="518214AB">
      <w:pPr>
        <w:wordWrap w:val="0"/>
        <w:spacing w:before="73" w:after="73"/>
        <w:jc w:val="center"/>
        <w:rPr>
          <w:rFonts w:ascii="华文中宋" w:hAnsi="华文中宋" w:eastAsia="华文中宋" w:cs="华文中宋"/>
          <w:color w:val="000000"/>
          <w:sz w:val="36"/>
        </w:rPr>
      </w:pPr>
      <w:r>
        <w:rPr>
          <w:rFonts w:ascii="华文中宋" w:hAnsi="华文中宋" w:eastAsia="华文中宋" w:cs="华文中宋"/>
          <w:color w:val="000000"/>
          <w:sz w:val="36"/>
        </w:rPr>
        <w:t>湖州师范学院采购中心</w:t>
      </w:r>
    </w:p>
    <w:p w14:paraId="5CDFA78D">
      <w:pPr>
        <w:wordWrap w:val="0"/>
        <w:spacing w:before="73" w:after="73"/>
        <w:jc w:val="center"/>
      </w:pPr>
      <w:bookmarkStart w:id="0" w:name="_GoBack"/>
      <w:bookmarkEnd w:id="0"/>
      <w:r>
        <w:rPr>
          <w:rFonts w:hint="eastAsia" w:ascii="华文中宋" w:hAnsi="华文中宋" w:eastAsia="华文中宋" w:cs="华文中宋"/>
          <w:color w:val="000000"/>
          <w:sz w:val="32"/>
          <w:lang w:val="en-US" w:eastAsia="zh-CN"/>
        </w:rPr>
        <w:t>2025</w:t>
      </w:r>
      <w:r>
        <w:rPr>
          <w:rFonts w:ascii="华文中宋" w:hAnsi="华文中宋" w:eastAsia="华文中宋" w:cs="华文中宋"/>
          <w:color w:val="000000"/>
          <w:sz w:val="32"/>
        </w:rPr>
        <w:t>年</w:t>
      </w:r>
      <w:r>
        <w:rPr>
          <w:rFonts w:hint="eastAsia" w:ascii="华文中宋" w:hAnsi="华文中宋" w:eastAsia="华文中宋" w:cs="华文中宋"/>
          <w:color w:val="000000"/>
          <w:sz w:val="32"/>
          <w:lang w:val="en-US" w:eastAsia="zh-CN"/>
        </w:rPr>
        <w:t>10</w:t>
      </w:r>
      <w:r>
        <w:rPr>
          <w:rFonts w:ascii="华文中宋" w:hAnsi="华文中宋" w:eastAsia="华文中宋" w:cs="华文中宋"/>
          <w:color w:val="000000"/>
          <w:sz w:val="32"/>
        </w:rPr>
        <w:t>月</w:t>
      </w:r>
      <w:r>
        <w:rPr>
          <w:rFonts w:hint="eastAsia" w:ascii="华文中宋" w:hAnsi="华文中宋" w:eastAsia="华文中宋" w:cs="华文中宋"/>
          <w:color w:val="000000"/>
          <w:sz w:val="32"/>
          <w:lang w:val="en-US" w:eastAsia="zh-CN"/>
        </w:rPr>
        <w:t>27</w:t>
      </w:r>
      <w:r>
        <w:rPr>
          <w:rFonts w:ascii="华文中宋" w:hAnsi="华文中宋" w:eastAsia="华文中宋" w:cs="华文中宋"/>
          <w:color w:val="000000"/>
          <w:sz w:val="32"/>
        </w:rPr>
        <w:t>日</w:t>
      </w:r>
    </w:p>
    <w:p w14:paraId="481060CA">
      <w:pPr>
        <w:spacing w:before="0" w:after="0" w:line="225" w:lineRule="exact"/>
      </w:pPr>
    </w:p>
    <w:p w14:paraId="5774C576">
      <w:pPr>
        <w:sectPr>
          <w:headerReference r:id="rId3" w:type="default"/>
          <w:pgSz w:w="11907" w:h="16839"/>
          <w:pgMar w:top="1077" w:right="1154" w:bottom="1077" w:left="1154" w:header="720" w:footer="720" w:gutter="0"/>
          <w:cols w:space="720" w:num="1"/>
        </w:sectPr>
      </w:pPr>
    </w:p>
    <w:p w14:paraId="16020052">
      <w:pPr>
        <w:wordWrap w:val="0"/>
        <w:spacing w:after="700"/>
        <w:jc w:val="center"/>
      </w:pPr>
      <w:r>
        <w:rPr>
          <w:rFonts w:ascii="华文中宋" w:hAnsi="华文中宋" w:eastAsia="华文中宋" w:cs="华文中宋"/>
          <w:b/>
          <w:sz w:val="36"/>
        </w:rPr>
        <w:t>目　录</w:t>
      </w:r>
    </w:p>
    <w:p w14:paraId="1F3B7F2D">
      <w:pPr>
        <w:wordWrap w:val="0"/>
      </w:pPr>
      <w:r>
        <w:fldChar w:fldCharType="begin"/>
      </w:r>
      <w:r>
        <w:instrText xml:space="preserve">TOC \o "1-3" \h \z \u</w:instrText>
      </w:r>
      <w:r>
        <w:fldChar w:fldCharType="separate"/>
      </w:r>
      <w:r>
        <w:fldChar w:fldCharType="end"/>
      </w:r>
    </w:p>
    <w:p w14:paraId="636AFA20">
      <w:pPr>
        <w:sectPr>
          <w:pgSz w:w="11907" w:h="16839"/>
          <w:pgMar w:top="1077" w:right="1154" w:bottom="1077" w:left="1154" w:header="720" w:footer="720" w:gutter="0"/>
          <w:cols w:space="720" w:num="1"/>
        </w:sectPr>
      </w:pPr>
    </w:p>
    <w:p w14:paraId="72C7BFD6">
      <w:pPr>
        <w:wordWrap w:val="0"/>
        <w:spacing w:before="75" w:after="75"/>
        <w:jc w:val="center"/>
        <w:outlineLvl w:val="0"/>
      </w:pPr>
      <w:r>
        <w:rPr>
          <w:rFonts w:ascii="宋体" w:hAnsi="宋体" w:eastAsia="宋体" w:cs="宋体"/>
          <w:b/>
          <w:color w:val="000000"/>
          <w:sz w:val="40"/>
        </w:rPr>
        <w:t>第一部分 邀请函</w:t>
      </w:r>
    </w:p>
    <w:p w14:paraId="3EA3BA83">
      <w:pPr>
        <w:spacing w:before="0" w:after="0" w:line="555" w:lineRule="exact"/>
      </w:pPr>
    </w:p>
    <w:p w14:paraId="5DBC645B">
      <w:pPr>
        <w:wordWrap w:val="0"/>
        <w:spacing w:before="156" w:after="156"/>
        <w:jc w:val="left"/>
      </w:pPr>
      <w:r>
        <w:rPr>
          <w:rFonts w:ascii="宋体" w:hAnsi="宋体" w:eastAsia="宋体" w:cs="宋体"/>
          <w:b/>
          <w:color w:val="000000"/>
          <w:sz w:val="21"/>
          <w:u w:val="single"/>
        </w:rPr>
        <w:t>深圳艾瑞深信息咨询有限公司</w:t>
      </w:r>
      <w:r>
        <w:rPr>
          <w:rFonts w:ascii="宋体" w:hAnsi="宋体" w:eastAsia="宋体" w:cs="宋体"/>
          <w:b/>
          <w:color w:val="000000"/>
          <w:sz w:val="21"/>
        </w:rPr>
        <w:t>：</w:t>
      </w:r>
    </w:p>
    <w:p w14:paraId="593CF528">
      <w:pPr>
        <w:wordWrap w:val="0"/>
        <w:spacing w:after="0" w:line="378" w:lineRule="exact"/>
        <w:ind w:firstLineChars="200"/>
        <w:jc w:val="left"/>
      </w:pPr>
      <w:r>
        <w:rPr>
          <w:rFonts w:ascii="宋体" w:hAnsi="宋体" w:eastAsia="宋体" w:cs="宋体"/>
          <w:color w:val="000000"/>
          <w:sz w:val="21"/>
        </w:rPr>
        <w:t>湖州师范学院采购中心作为采购机构，就“发展规划处关于学校办学质量与发展战略评价采购项目”项目进行单一来源采购，邀请你单位参加谈判，具体如下：</w:t>
      </w:r>
    </w:p>
    <w:p w14:paraId="51F7DE54">
      <w:pPr>
        <w:wordWrap w:val="0"/>
        <w:spacing w:after="0" w:line="503" w:lineRule="exact"/>
        <w:jc w:val="left"/>
      </w:pPr>
      <w:r>
        <w:rPr>
          <w:rFonts w:ascii="黑体" w:hAnsi="黑体" w:eastAsia="黑体" w:cs="黑体"/>
          <w:color w:val="000000"/>
          <w:sz w:val="28"/>
        </w:rPr>
        <w:t>一、项目基本情况</w:t>
      </w:r>
    </w:p>
    <w:p w14:paraId="1B147873">
      <w:pPr>
        <w:wordWrap w:val="0"/>
        <w:spacing w:after="0" w:line="378" w:lineRule="exact"/>
        <w:ind w:firstLineChars="200"/>
        <w:jc w:val="left"/>
      </w:pPr>
      <w:r>
        <w:rPr>
          <w:rFonts w:ascii="宋体" w:hAnsi="宋体" w:eastAsia="宋体" w:cs="宋体"/>
          <w:color w:val="000000"/>
          <w:sz w:val="21"/>
        </w:rPr>
        <w:t>项目编号：ZJHU20251017053</w:t>
      </w:r>
    </w:p>
    <w:p w14:paraId="4FA044C9">
      <w:pPr>
        <w:wordWrap w:val="0"/>
        <w:spacing w:before="0" w:after="0" w:line="378" w:lineRule="exact"/>
        <w:ind w:firstLineChars="200"/>
        <w:jc w:val="left"/>
      </w:pPr>
      <w:r>
        <w:rPr>
          <w:rFonts w:ascii="宋体" w:hAnsi="宋体" w:eastAsia="宋体" w:cs="宋体"/>
          <w:color w:val="000000"/>
          <w:sz w:val="21"/>
        </w:rPr>
        <w:t>项目名称：发展规划处关于学校办学质量与发展战略评价采购项目</w:t>
      </w:r>
    </w:p>
    <w:p w14:paraId="6CDC3F1B">
      <w:pPr>
        <w:wordWrap w:val="0"/>
        <w:spacing w:before="0" w:after="0" w:line="378" w:lineRule="exact"/>
        <w:ind w:firstLineChars="200"/>
        <w:jc w:val="left"/>
      </w:pPr>
      <w:r>
        <w:rPr>
          <w:rFonts w:ascii="宋体" w:hAnsi="宋体" w:eastAsia="宋体" w:cs="宋体"/>
          <w:color w:val="000000"/>
          <w:sz w:val="21"/>
        </w:rPr>
        <w:t>采购方式：单一来源</w:t>
      </w:r>
    </w:p>
    <w:p w14:paraId="7426D566">
      <w:pPr>
        <w:wordWrap w:val="0"/>
        <w:spacing w:after="0" w:line="378" w:lineRule="exact"/>
        <w:ind w:firstLineChars="200"/>
        <w:jc w:val="left"/>
      </w:pPr>
      <w:r>
        <w:rPr>
          <w:rFonts w:ascii="宋体" w:hAnsi="宋体" w:eastAsia="宋体" w:cs="宋体"/>
          <w:color w:val="000000"/>
          <w:sz w:val="21"/>
        </w:rPr>
        <w:t>预算金额：30.00万元　　　</w:t>
      </w:r>
    </w:p>
    <w:p w14:paraId="159AE849">
      <w:pPr>
        <w:wordWrap w:val="0"/>
        <w:spacing w:after="0" w:line="378" w:lineRule="exact"/>
        <w:ind w:firstLineChars="200"/>
        <w:jc w:val="left"/>
      </w:pPr>
      <w:r>
        <w:rPr>
          <w:rFonts w:ascii="宋体" w:hAnsi="宋体" w:eastAsia="宋体" w:cs="宋体"/>
          <w:color w:val="000000"/>
          <w:sz w:val="21"/>
        </w:rPr>
        <w:t>最高限价(总价)：30.00万元，超过最高限价的报价为无效报价</w:t>
      </w:r>
    </w:p>
    <w:p w14:paraId="07B81761">
      <w:pPr>
        <w:wordWrap w:val="0"/>
        <w:spacing w:after="0" w:line="378" w:lineRule="exact"/>
        <w:ind w:firstLineChars="200"/>
        <w:jc w:val="left"/>
      </w:pPr>
      <w:r>
        <w:rPr>
          <w:rFonts w:ascii="宋体" w:hAnsi="宋体" w:eastAsia="宋体" w:cs="宋体"/>
          <w:color w:val="000000"/>
          <w:sz w:val="21"/>
        </w:rPr>
        <w:t>采购需求：为学校制定发展战略规划、全面掌握学校办学质量、办学水平提供重要依据，经调研，学校决定与深圳艾瑞深信息咨询有限公司继续开展合作，采购其相关服务。具体要求详见第三部分采购需求。</w:t>
      </w:r>
    </w:p>
    <w:p w14:paraId="2B4BC633">
      <w:pPr>
        <w:wordWrap w:val="0"/>
        <w:spacing w:after="0" w:line="378" w:lineRule="exact"/>
        <w:ind w:firstLineChars="200"/>
        <w:jc w:val="left"/>
      </w:pPr>
      <w:r>
        <w:rPr>
          <w:rFonts w:ascii="宋体" w:hAnsi="宋体" w:eastAsia="宋体" w:cs="宋体"/>
          <w:color w:val="000000"/>
          <w:sz w:val="21"/>
        </w:rPr>
        <w:t>服务期限：合同签订并生效后2年。</w:t>
      </w:r>
    </w:p>
    <w:p w14:paraId="726A5DE1">
      <w:pPr>
        <w:wordWrap w:val="0"/>
        <w:spacing w:after="0" w:line="503" w:lineRule="exact"/>
        <w:jc w:val="left"/>
      </w:pPr>
      <w:r>
        <w:rPr>
          <w:rFonts w:ascii="黑体" w:hAnsi="黑体" w:eastAsia="黑体" w:cs="黑体"/>
          <w:color w:val="000000"/>
          <w:sz w:val="28"/>
        </w:rPr>
        <w:t>二、申请人的资格要求</w:t>
      </w:r>
    </w:p>
    <w:p w14:paraId="671DAD9A">
      <w:pPr>
        <w:wordWrap w:val="0"/>
        <w:spacing w:after="0" w:line="378" w:lineRule="exact"/>
        <w:ind w:firstLineChars="200"/>
        <w:jc w:val="left"/>
      </w:pPr>
      <w:r>
        <w:rPr>
          <w:rFonts w:ascii="宋体" w:hAnsi="宋体" w:eastAsia="宋体" w:cs="宋体"/>
          <w:color w:val="000000"/>
          <w:sz w:val="21"/>
        </w:rPr>
        <w:t>1.满足《中华人民共和国政府采购法》第二十二条规定；未被“信用中国” （www.creditchina.gov.cn)、 中国政府采购网（www.ccgp.gov.cn）列入失信被执行人、重大税收违法案件当事人名单、政府采购严重违法失信行为记录名单：</w:t>
      </w:r>
    </w:p>
    <w:p w14:paraId="7DC992F3">
      <w:pPr>
        <w:wordWrap w:val="0"/>
        <w:spacing w:after="0" w:line="378" w:lineRule="exact"/>
        <w:ind w:firstLineChars="200"/>
        <w:jc w:val="left"/>
      </w:pPr>
      <w:r>
        <w:rPr>
          <w:rFonts w:ascii="宋体" w:hAnsi="宋体" w:eastAsia="宋体" w:cs="宋体"/>
          <w:color w:val="000000"/>
          <w:sz w:val="21"/>
        </w:rPr>
        <w:t>(1) 具有独立承担民事责任的能力，须提供在中国境内（除香港、澳门及台湾地区外）注册的法人或其他组织的营业执照等证明文件复印件，如自然人直接参与的，须提供自然人身份证复印件；</w:t>
      </w:r>
    </w:p>
    <w:p w14:paraId="667BB7F3">
      <w:pPr>
        <w:wordWrap w:val="0"/>
        <w:spacing w:before="0" w:after="0" w:line="378" w:lineRule="exact"/>
        <w:ind w:firstLineChars="200"/>
        <w:jc w:val="left"/>
      </w:pPr>
      <w:r>
        <w:rPr>
          <w:rFonts w:ascii="宋体" w:hAnsi="宋体" w:eastAsia="宋体" w:cs="宋体"/>
          <w:color w:val="000000"/>
          <w:sz w:val="21"/>
        </w:rPr>
        <w:t>(2) 具有履行合同所必需的设备和专业技术能力，须提供相关证明（说明）材料，内容自拟，供应商对所提供材料的真实性负责；</w:t>
      </w:r>
    </w:p>
    <w:p w14:paraId="13A169F3">
      <w:pPr>
        <w:wordWrap w:val="0"/>
        <w:spacing w:before="0" w:after="0" w:line="378" w:lineRule="exact"/>
        <w:ind w:firstLineChars="200"/>
        <w:jc w:val="left"/>
      </w:pPr>
      <w:r>
        <w:rPr>
          <w:rFonts w:ascii="宋体" w:hAnsi="宋体" w:eastAsia="宋体" w:cs="宋体"/>
          <w:color w:val="000000"/>
          <w:sz w:val="21"/>
        </w:rPr>
        <w:t>(3) 未被“信用中国”网站(www.creditchina.gov.cn)列入失信被执行人、重大税收违法案件当事人名单；未被“中国政府采购网”(www.ccgp.gov.cn)列入政府采购严重违法失信行为记录名单。</w:t>
      </w:r>
    </w:p>
    <w:p w14:paraId="6E3755DD">
      <w:pPr>
        <w:wordWrap w:val="0"/>
        <w:spacing w:after="0" w:line="378" w:lineRule="exact"/>
        <w:ind w:firstLineChars="200"/>
        <w:jc w:val="left"/>
      </w:pPr>
      <w:r>
        <w:rPr>
          <w:rFonts w:ascii="宋体" w:hAnsi="宋体" w:eastAsia="宋体" w:cs="宋体"/>
          <w:color w:val="000000"/>
          <w:sz w:val="21"/>
        </w:rPr>
        <w:t>2.本项目的特定资格要求：</w:t>
      </w:r>
    </w:p>
    <w:p w14:paraId="44B396F6">
      <w:pPr>
        <w:wordWrap w:val="0"/>
        <w:spacing w:after="0" w:line="378" w:lineRule="exact"/>
        <w:ind w:firstLineChars="200"/>
        <w:jc w:val="left"/>
      </w:pPr>
      <w:r>
        <w:rPr>
          <w:rFonts w:ascii="宋体" w:hAnsi="宋体" w:eastAsia="宋体" w:cs="宋体"/>
          <w:color w:val="000000"/>
          <w:sz w:val="21"/>
        </w:rPr>
        <w:t>(1) 无。</w:t>
      </w:r>
    </w:p>
    <w:p w14:paraId="27EA7317">
      <w:pPr>
        <w:wordWrap w:val="0"/>
        <w:spacing w:after="0" w:line="503" w:lineRule="exact"/>
        <w:jc w:val="left"/>
      </w:pPr>
      <w:r>
        <w:rPr>
          <w:rFonts w:ascii="黑体" w:hAnsi="黑体" w:eastAsia="黑体" w:cs="黑体"/>
          <w:color w:val="000000"/>
          <w:sz w:val="28"/>
        </w:rPr>
        <w:t>三、获取采购文件</w:t>
      </w:r>
    </w:p>
    <w:p w14:paraId="424B00D5">
      <w:pPr>
        <w:wordWrap w:val="0"/>
        <w:spacing w:after="0" w:line="378" w:lineRule="exact"/>
        <w:ind w:firstLineChars="200"/>
        <w:jc w:val="left"/>
      </w:pPr>
      <w:r>
        <w:rPr>
          <w:rFonts w:ascii="宋体" w:hAnsi="宋体" w:eastAsia="宋体" w:cs="宋体"/>
          <w:color w:val="000000"/>
          <w:sz w:val="21"/>
        </w:rPr>
        <w:t>地点：湖州师范学院采购网线上下载。</w:t>
      </w:r>
    </w:p>
    <w:p w14:paraId="4F8BAB4E">
      <w:pPr>
        <w:wordWrap w:val="0"/>
        <w:spacing w:after="0" w:line="503" w:lineRule="exact"/>
        <w:jc w:val="left"/>
      </w:pPr>
      <w:r>
        <w:rPr>
          <w:rFonts w:ascii="黑体" w:hAnsi="黑体" w:eastAsia="黑体" w:cs="黑体"/>
          <w:color w:val="000000"/>
          <w:sz w:val="28"/>
        </w:rPr>
        <w:t>四、提交响应文件截止时间、地点</w:t>
      </w:r>
    </w:p>
    <w:p w14:paraId="298B5F93">
      <w:pPr>
        <w:wordWrap w:val="0"/>
        <w:spacing w:after="0" w:line="378" w:lineRule="exact"/>
        <w:ind w:firstLineChars="200"/>
        <w:jc w:val="left"/>
      </w:pPr>
      <w:r>
        <w:rPr>
          <w:rFonts w:ascii="宋体" w:hAnsi="宋体" w:eastAsia="宋体" w:cs="宋体"/>
          <w:color w:val="000000"/>
          <w:sz w:val="21"/>
        </w:rPr>
        <w:t>提交响应文件截止时间：</w:t>
      </w:r>
      <w:r>
        <w:rPr>
          <w:rFonts w:hint="eastAsia" w:ascii="宋体" w:hAnsi="宋体" w:eastAsia="宋体" w:cs="宋体"/>
          <w:color w:val="000000"/>
          <w:sz w:val="21"/>
          <w:lang w:val="en-US" w:eastAsia="zh-CN"/>
        </w:rPr>
        <w:t>2025年11月3日14:00</w:t>
      </w:r>
      <w:r>
        <w:rPr>
          <w:rFonts w:ascii="宋体" w:hAnsi="宋体" w:eastAsia="宋体" w:cs="宋体"/>
          <w:color w:val="000000"/>
          <w:sz w:val="21"/>
        </w:rPr>
        <w:t>（北京时间）</w:t>
      </w:r>
    </w:p>
    <w:p w14:paraId="2D4D0150">
      <w:pPr>
        <w:wordWrap w:val="0"/>
        <w:spacing w:before="0" w:after="0" w:line="378" w:lineRule="exact"/>
        <w:ind w:firstLineChars="200"/>
        <w:jc w:val="left"/>
      </w:pPr>
      <w:r>
        <w:rPr>
          <w:rFonts w:ascii="宋体" w:hAnsi="宋体" w:eastAsia="宋体" w:cs="宋体"/>
          <w:color w:val="000000"/>
          <w:sz w:val="21"/>
        </w:rPr>
        <w:t>提交地点：湖州师范学院东校区明达楼207室</w:t>
      </w:r>
    </w:p>
    <w:p w14:paraId="20DAFD60">
      <w:pPr>
        <w:wordWrap w:val="0"/>
        <w:spacing w:after="0" w:line="378" w:lineRule="exact"/>
        <w:ind w:firstLineChars="200"/>
        <w:jc w:val="left"/>
      </w:pPr>
      <w:r>
        <w:rPr>
          <w:rFonts w:ascii="宋体" w:hAnsi="宋体" w:eastAsia="宋体" w:cs="宋体"/>
          <w:b/>
          <w:color w:val="000000"/>
          <w:sz w:val="21"/>
        </w:rPr>
        <w:t>注意事项</w:t>
      </w:r>
      <w:r>
        <w:rPr>
          <w:rFonts w:ascii="宋体" w:hAnsi="宋体" w:eastAsia="宋体" w:cs="宋体"/>
          <w:color w:val="000000"/>
          <w:sz w:val="21"/>
        </w:rPr>
        <w:t>：</w:t>
      </w:r>
    </w:p>
    <w:p w14:paraId="0E1FBB5C">
      <w:pPr>
        <w:wordWrap w:val="0"/>
        <w:spacing w:after="0" w:line="378" w:lineRule="exact"/>
        <w:ind w:firstLineChars="200"/>
        <w:jc w:val="left"/>
      </w:pPr>
      <w:r>
        <w:rPr>
          <w:rFonts w:ascii="宋体" w:hAnsi="宋体" w:eastAsia="宋体" w:cs="宋体"/>
          <w:color w:val="000000"/>
          <w:sz w:val="21"/>
        </w:rPr>
        <w:t>建议以快递的形式寄送投标文件，为确保快递时效请优先考虑顺丰快递。收件人信息：湖州师范学院东校区明达楼207室，张老师，0572-2322188。</w:t>
      </w:r>
    </w:p>
    <w:p w14:paraId="50CA63B8">
      <w:pPr>
        <w:wordWrap w:val="0"/>
        <w:spacing w:before="108" w:after="108"/>
        <w:jc w:val="left"/>
      </w:pPr>
      <w:r>
        <w:rPr>
          <w:rFonts w:ascii="黑体" w:hAnsi="黑体" w:eastAsia="黑体" w:cs="黑体"/>
          <w:color w:val="000000"/>
          <w:sz w:val="28"/>
        </w:rPr>
        <w:t>五、谈判时间及地点</w:t>
      </w:r>
    </w:p>
    <w:p w14:paraId="416813FA">
      <w:pPr>
        <w:wordWrap w:val="0"/>
        <w:spacing w:after="0" w:line="378" w:lineRule="exact"/>
        <w:ind w:firstLineChars="200"/>
        <w:jc w:val="left"/>
      </w:pPr>
      <w:r>
        <w:rPr>
          <w:rFonts w:ascii="宋体" w:hAnsi="宋体" w:eastAsia="宋体" w:cs="宋体"/>
          <w:color w:val="000000"/>
          <w:sz w:val="21"/>
        </w:rPr>
        <w:t>1、谈判时间：</w:t>
      </w:r>
      <w:r>
        <w:rPr>
          <w:rFonts w:hint="eastAsia" w:ascii="宋体" w:hAnsi="宋体" w:eastAsia="宋体" w:cs="宋体"/>
          <w:color w:val="000000"/>
          <w:sz w:val="21"/>
          <w:lang w:val="en-US" w:eastAsia="zh-CN"/>
        </w:rPr>
        <w:t>2025年11月3日14:00</w:t>
      </w:r>
      <w:r>
        <w:rPr>
          <w:rFonts w:ascii="宋体" w:hAnsi="宋体" w:eastAsia="宋体" w:cs="宋体"/>
          <w:color w:val="000000"/>
          <w:sz w:val="21"/>
        </w:rPr>
        <w:t>（具体时间以现场安排为准）</w:t>
      </w:r>
    </w:p>
    <w:p w14:paraId="4A9CC1A4">
      <w:pPr>
        <w:wordWrap w:val="0"/>
        <w:spacing w:before="0" w:after="0" w:line="378" w:lineRule="exact"/>
        <w:ind w:firstLineChars="200"/>
        <w:jc w:val="left"/>
      </w:pPr>
      <w:r>
        <w:rPr>
          <w:rFonts w:ascii="宋体" w:hAnsi="宋体" w:eastAsia="宋体" w:cs="宋体"/>
          <w:color w:val="000000"/>
          <w:sz w:val="21"/>
        </w:rPr>
        <w:t>2、谈判地点：湖州师范学院东校区明达楼204室</w:t>
      </w:r>
    </w:p>
    <w:p w14:paraId="1661E991">
      <w:pPr>
        <w:wordWrap w:val="0"/>
        <w:spacing w:before="108" w:after="108"/>
        <w:jc w:val="left"/>
      </w:pPr>
      <w:r>
        <w:rPr>
          <w:rFonts w:ascii="黑体" w:hAnsi="黑体" w:eastAsia="黑体" w:cs="黑体"/>
          <w:color w:val="000000"/>
          <w:sz w:val="28"/>
        </w:rPr>
        <w:t>六、其他补充事宜</w:t>
      </w:r>
    </w:p>
    <w:p w14:paraId="04A85A22">
      <w:pPr>
        <w:wordWrap w:val="0"/>
        <w:spacing w:after="0" w:line="378" w:lineRule="exact"/>
        <w:ind w:firstLineChars="200"/>
        <w:jc w:val="left"/>
      </w:pPr>
      <w:r>
        <w:rPr>
          <w:rFonts w:ascii="宋体" w:hAnsi="宋体" w:eastAsia="宋体" w:cs="宋体"/>
          <w:color w:val="000000"/>
          <w:sz w:val="21"/>
        </w:rPr>
        <w:t>无。</w:t>
      </w:r>
    </w:p>
    <w:p w14:paraId="44FF9071">
      <w:pPr>
        <w:wordWrap w:val="0"/>
        <w:spacing w:before="108" w:after="108"/>
        <w:jc w:val="left"/>
      </w:pPr>
      <w:r>
        <w:rPr>
          <w:rFonts w:ascii="黑体" w:hAnsi="黑体" w:eastAsia="黑体" w:cs="黑体"/>
          <w:color w:val="000000"/>
          <w:sz w:val="28"/>
        </w:rPr>
        <w:t>七、联系方式</w:t>
      </w:r>
    </w:p>
    <w:p w14:paraId="7CC10543">
      <w:pPr>
        <w:wordWrap w:val="0"/>
        <w:spacing w:after="0" w:line="378" w:lineRule="exact"/>
        <w:ind w:firstLineChars="200"/>
        <w:jc w:val="left"/>
      </w:pPr>
      <w:r>
        <w:rPr>
          <w:rFonts w:ascii="宋体" w:hAnsi="宋体" w:eastAsia="宋体" w:cs="宋体"/>
          <w:color w:val="000000"/>
          <w:sz w:val="21"/>
        </w:rPr>
        <w:t>1.采购人信息</w:t>
      </w:r>
    </w:p>
    <w:p w14:paraId="5C767AE2">
      <w:pPr>
        <w:wordWrap w:val="0"/>
        <w:spacing w:before="0" w:after="0" w:line="378" w:lineRule="exact"/>
        <w:ind w:firstLineChars="250"/>
        <w:jc w:val="left"/>
      </w:pPr>
      <w:r>
        <w:rPr>
          <w:rFonts w:ascii="宋体" w:hAnsi="宋体" w:eastAsia="宋体" w:cs="宋体"/>
          <w:color w:val="000000"/>
          <w:sz w:val="21"/>
        </w:rPr>
        <w:t>名 称：湖州师范学院</w:t>
      </w:r>
    </w:p>
    <w:p w14:paraId="38A5E31E">
      <w:pPr>
        <w:wordWrap w:val="0"/>
        <w:spacing w:before="0" w:after="0" w:line="378" w:lineRule="exact"/>
        <w:ind w:firstLineChars="250"/>
        <w:jc w:val="left"/>
      </w:pPr>
      <w:r>
        <w:rPr>
          <w:rFonts w:ascii="宋体" w:hAnsi="宋体" w:eastAsia="宋体" w:cs="宋体"/>
          <w:color w:val="000000"/>
          <w:sz w:val="21"/>
        </w:rPr>
        <w:t>地 址：浙江省湖州市二环东路759号</w:t>
      </w:r>
    </w:p>
    <w:p w14:paraId="4EB0C60B">
      <w:pPr>
        <w:wordWrap w:val="0"/>
        <w:spacing w:before="0" w:after="0" w:line="378" w:lineRule="exact"/>
        <w:ind w:firstLineChars="250"/>
        <w:jc w:val="left"/>
      </w:pPr>
      <w:r>
        <w:rPr>
          <w:rFonts w:ascii="宋体" w:hAnsi="宋体" w:eastAsia="宋体" w:cs="宋体"/>
          <w:color w:val="000000"/>
          <w:sz w:val="21"/>
        </w:rPr>
        <w:t>联系方式：张老师 0572-2322188</w:t>
      </w:r>
    </w:p>
    <w:p w14:paraId="6707FEB9">
      <w:pPr>
        <w:wordWrap w:val="0"/>
        <w:spacing w:after="0" w:line="378" w:lineRule="exact"/>
        <w:ind w:firstLineChars="200"/>
        <w:jc w:val="left"/>
      </w:pPr>
      <w:r>
        <w:rPr>
          <w:rFonts w:ascii="宋体" w:hAnsi="宋体" w:eastAsia="宋体" w:cs="宋体"/>
          <w:color w:val="000000"/>
          <w:sz w:val="21"/>
        </w:rPr>
        <w:t>2.项目联系方式</w:t>
      </w:r>
    </w:p>
    <w:p w14:paraId="404C918E">
      <w:pPr>
        <w:wordWrap w:val="0"/>
        <w:spacing w:before="0" w:after="0" w:line="378" w:lineRule="exact"/>
        <w:ind w:firstLineChars="250"/>
        <w:jc w:val="left"/>
      </w:pPr>
      <w:r>
        <w:rPr>
          <w:rFonts w:ascii="宋体" w:hAnsi="宋体" w:eastAsia="宋体" w:cs="宋体"/>
          <w:color w:val="000000"/>
          <w:sz w:val="21"/>
        </w:rPr>
        <w:t>项目联系人： 沈老师</w:t>
      </w:r>
    </w:p>
    <w:p w14:paraId="78442A8D">
      <w:pPr>
        <w:wordWrap w:val="0"/>
        <w:spacing w:before="0" w:after="0" w:line="378" w:lineRule="exact"/>
        <w:ind w:firstLineChars="250"/>
        <w:jc w:val="left"/>
      </w:pPr>
      <w:r>
        <w:rPr>
          <w:rFonts w:ascii="宋体" w:hAnsi="宋体" w:eastAsia="宋体" w:cs="宋体"/>
          <w:color w:val="000000"/>
          <w:sz w:val="21"/>
        </w:rPr>
        <w:t>电　　 话：　0572-2322553</w:t>
      </w:r>
    </w:p>
    <w:p w14:paraId="2357B4BE">
      <w:pPr>
        <w:spacing w:before="0" w:after="0" w:line="390" w:lineRule="exact"/>
      </w:pPr>
    </w:p>
    <w:tbl>
      <w:tblPr>
        <w:tblStyle w:val="2"/>
        <w:tblW w:w="9585"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510"/>
        <w:gridCol w:w="7215"/>
        <w:gridCol w:w="1860"/>
      </w:tblGrid>
      <w:tr w14:paraId="2CFB6D41">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exact"/>
          <w:jc w:val="center"/>
        </w:trPr>
        <w:tc>
          <w:tcPr>
            <w:tcW w:w="510" w:type="dxa"/>
            <w:tcBorders>
              <w:top w:val="nil"/>
              <w:left w:val="nil"/>
              <w:bottom w:val="nil"/>
              <w:right w:val="nil"/>
            </w:tcBorders>
            <w:tcMar>
              <w:top w:w="20" w:type="dxa"/>
              <w:left w:w="20" w:type="dxa"/>
              <w:bottom w:w="20" w:type="dxa"/>
              <w:right w:w="20" w:type="dxa"/>
            </w:tcMar>
            <w:vAlign w:val="center"/>
          </w:tcPr>
          <w:p w14:paraId="4072A693"/>
        </w:tc>
        <w:tc>
          <w:tcPr>
            <w:tcW w:w="7215" w:type="dxa"/>
            <w:tcBorders>
              <w:top w:val="nil"/>
              <w:left w:val="nil"/>
              <w:bottom w:val="nil"/>
              <w:right w:val="nil"/>
            </w:tcBorders>
            <w:tcMar>
              <w:top w:w="20" w:type="dxa"/>
              <w:left w:w="20" w:type="dxa"/>
              <w:bottom w:w="20" w:type="dxa"/>
              <w:right w:w="20" w:type="dxa"/>
            </w:tcMar>
            <w:vAlign w:val="center"/>
          </w:tcPr>
          <w:p w14:paraId="06E68D59">
            <w:pPr>
              <w:wordWrap w:val="0"/>
            </w:pPr>
          </w:p>
        </w:tc>
        <w:tc>
          <w:tcPr>
            <w:tcW w:w="1860" w:type="dxa"/>
            <w:tcBorders>
              <w:top w:val="nil"/>
              <w:left w:val="nil"/>
              <w:bottom w:val="nil"/>
              <w:right w:val="nil"/>
            </w:tcBorders>
            <w:tcMar>
              <w:top w:w="20" w:type="dxa"/>
              <w:left w:w="20" w:type="dxa"/>
              <w:bottom w:w="20" w:type="dxa"/>
              <w:right w:w="20" w:type="dxa"/>
            </w:tcMar>
            <w:vAlign w:val="center"/>
          </w:tcPr>
          <w:p w14:paraId="24934160">
            <w:pPr>
              <w:wordWrap w:val="0"/>
            </w:pPr>
          </w:p>
        </w:tc>
      </w:tr>
      <w:tr w14:paraId="4B5207FE">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atLeast"/>
          <w:jc w:val="center"/>
        </w:trPr>
        <w:tc>
          <w:tcPr>
            <w:tcW w:w="510" w:type="dxa"/>
            <w:tcBorders>
              <w:top w:val="nil"/>
              <w:left w:val="nil"/>
              <w:bottom w:val="nil"/>
              <w:right w:val="nil"/>
            </w:tcBorders>
            <w:tcMar>
              <w:top w:w="20" w:type="dxa"/>
              <w:left w:w="20" w:type="dxa"/>
              <w:bottom w:w="20" w:type="dxa"/>
              <w:right w:w="20" w:type="dxa"/>
            </w:tcMar>
            <w:vAlign w:val="center"/>
          </w:tcPr>
          <w:p w14:paraId="09058B92">
            <w:pPr>
              <w:wordWrap w:val="0"/>
            </w:pPr>
          </w:p>
        </w:tc>
        <w:tc>
          <w:tcPr>
            <w:tcW w:w="9075" w:type="dxa"/>
            <w:gridSpan w:val="2"/>
            <w:tcBorders>
              <w:top w:val="nil"/>
              <w:left w:val="nil"/>
              <w:bottom w:val="nil"/>
              <w:right w:val="nil"/>
            </w:tcBorders>
            <w:tcMar>
              <w:top w:w="20" w:type="dxa"/>
              <w:left w:w="20" w:type="dxa"/>
              <w:bottom w:w="20" w:type="dxa"/>
              <w:right w:w="20" w:type="dxa"/>
            </w:tcMar>
            <w:vAlign w:val="center"/>
          </w:tcPr>
          <w:p w14:paraId="3AC0D1CB">
            <w:pPr>
              <w:wordWrap w:val="0"/>
              <w:jc w:val="right"/>
            </w:pPr>
            <w:r>
              <w:rPr>
                <w:rFonts w:ascii="宋体" w:hAnsi="宋体" w:eastAsia="宋体" w:cs="宋体"/>
                <w:color w:val="000000"/>
                <w:sz w:val="22"/>
              </w:rPr>
              <w:t>湖州师范学院采购中心</w:t>
            </w:r>
          </w:p>
        </w:tc>
      </w:tr>
      <w:tr w14:paraId="640FB133">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atLeast"/>
          <w:jc w:val="center"/>
        </w:trPr>
        <w:tc>
          <w:tcPr>
            <w:tcW w:w="510" w:type="dxa"/>
            <w:tcBorders>
              <w:top w:val="nil"/>
              <w:left w:val="nil"/>
              <w:bottom w:val="nil"/>
              <w:right w:val="nil"/>
            </w:tcBorders>
            <w:tcMar>
              <w:top w:w="20" w:type="dxa"/>
              <w:left w:w="20" w:type="dxa"/>
              <w:bottom w:w="20" w:type="dxa"/>
              <w:right w:w="20" w:type="dxa"/>
            </w:tcMar>
            <w:vAlign w:val="center"/>
          </w:tcPr>
          <w:p w14:paraId="00C37DDF">
            <w:pPr>
              <w:wordWrap w:val="0"/>
            </w:pPr>
          </w:p>
        </w:tc>
        <w:tc>
          <w:tcPr>
            <w:tcW w:w="7215" w:type="dxa"/>
            <w:tcBorders>
              <w:top w:val="nil"/>
              <w:left w:val="nil"/>
              <w:bottom w:val="nil"/>
              <w:right w:val="nil"/>
            </w:tcBorders>
            <w:tcMar>
              <w:top w:w="20" w:type="dxa"/>
              <w:left w:w="20" w:type="dxa"/>
              <w:bottom w:w="20" w:type="dxa"/>
              <w:right w:w="20" w:type="dxa"/>
            </w:tcMar>
            <w:vAlign w:val="center"/>
          </w:tcPr>
          <w:p w14:paraId="172A0A76">
            <w:pPr>
              <w:wordWrap w:val="0"/>
            </w:pPr>
          </w:p>
        </w:tc>
        <w:tc>
          <w:tcPr>
            <w:tcW w:w="1860" w:type="dxa"/>
            <w:tcBorders>
              <w:top w:val="nil"/>
              <w:left w:val="nil"/>
              <w:bottom w:val="nil"/>
              <w:right w:val="nil"/>
            </w:tcBorders>
            <w:tcMar>
              <w:top w:w="20" w:type="dxa"/>
              <w:left w:w="20" w:type="dxa"/>
              <w:bottom w:w="20" w:type="dxa"/>
              <w:right w:w="20" w:type="dxa"/>
            </w:tcMar>
            <w:vAlign w:val="center"/>
          </w:tcPr>
          <w:p w14:paraId="3F79813A">
            <w:pPr>
              <w:wordWrap w:val="0"/>
              <w:jc w:val="both"/>
            </w:pPr>
            <w:r>
              <w:rPr>
                <w:rFonts w:hint="eastAsia" w:ascii="宋体" w:hAnsi="宋体" w:eastAsia="宋体" w:cs="宋体"/>
                <w:color w:val="000000"/>
                <w:sz w:val="22"/>
                <w:lang w:val="en-US" w:eastAsia="zh-CN"/>
              </w:rPr>
              <w:t>2025</w:t>
            </w:r>
            <w:r>
              <w:rPr>
                <w:rFonts w:ascii="宋体" w:hAnsi="宋体" w:eastAsia="宋体" w:cs="宋体"/>
                <w:color w:val="000000"/>
                <w:sz w:val="22"/>
              </w:rPr>
              <w:t>年</w:t>
            </w:r>
            <w:r>
              <w:rPr>
                <w:rFonts w:hint="eastAsia" w:ascii="宋体" w:hAnsi="宋体" w:eastAsia="宋体" w:cs="宋体"/>
                <w:color w:val="000000"/>
                <w:sz w:val="22"/>
                <w:lang w:val="en-US" w:eastAsia="zh-CN"/>
              </w:rPr>
              <w:t>10</w:t>
            </w:r>
            <w:r>
              <w:rPr>
                <w:rFonts w:ascii="宋体" w:hAnsi="宋体" w:eastAsia="宋体" w:cs="宋体"/>
                <w:color w:val="000000"/>
                <w:sz w:val="22"/>
              </w:rPr>
              <w:t>月</w:t>
            </w:r>
            <w:r>
              <w:rPr>
                <w:rFonts w:hint="eastAsia" w:ascii="宋体" w:hAnsi="宋体" w:eastAsia="宋体" w:cs="宋体"/>
                <w:color w:val="000000"/>
                <w:sz w:val="22"/>
                <w:lang w:val="en-US" w:eastAsia="zh-CN"/>
              </w:rPr>
              <w:t>27</w:t>
            </w:r>
            <w:r>
              <w:rPr>
                <w:rFonts w:ascii="宋体" w:hAnsi="宋体" w:eastAsia="宋体" w:cs="宋体"/>
                <w:color w:val="000000"/>
                <w:sz w:val="22"/>
              </w:rPr>
              <w:t>日</w:t>
            </w:r>
          </w:p>
        </w:tc>
      </w:tr>
      <w:tr w14:paraId="466F1E43">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exact"/>
          <w:jc w:val="center"/>
        </w:trPr>
        <w:tc>
          <w:tcPr>
            <w:tcW w:w="510" w:type="dxa"/>
            <w:tcBorders>
              <w:top w:val="nil"/>
              <w:left w:val="nil"/>
              <w:bottom w:val="nil"/>
              <w:right w:val="nil"/>
            </w:tcBorders>
            <w:tcMar>
              <w:top w:w="20" w:type="dxa"/>
              <w:left w:w="20" w:type="dxa"/>
              <w:bottom w:w="20" w:type="dxa"/>
              <w:right w:w="20" w:type="dxa"/>
            </w:tcMar>
            <w:vAlign w:val="center"/>
          </w:tcPr>
          <w:p w14:paraId="76B8D550"/>
        </w:tc>
        <w:tc>
          <w:tcPr>
            <w:tcW w:w="7215" w:type="dxa"/>
            <w:tcBorders>
              <w:top w:val="nil"/>
              <w:left w:val="nil"/>
              <w:bottom w:val="nil"/>
              <w:right w:val="nil"/>
            </w:tcBorders>
            <w:tcMar>
              <w:top w:w="20" w:type="dxa"/>
              <w:left w:w="20" w:type="dxa"/>
              <w:bottom w:w="20" w:type="dxa"/>
              <w:right w:w="20" w:type="dxa"/>
            </w:tcMar>
            <w:vAlign w:val="center"/>
          </w:tcPr>
          <w:p w14:paraId="082E3E67">
            <w:pPr>
              <w:wordWrap w:val="0"/>
            </w:pPr>
          </w:p>
        </w:tc>
        <w:tc>
          <w:tcPr>
            <w:tcW w:w="1860" w:type="dxa"/>
            <w:tcBorders>
              <w:top w:val="nil"/>
              <w:left w:val="nil"/>
              <w:bottom w:val="nil"/>
              <w:right w:val="nil"/>
            </w:tcBorders>
            <w:tcMar>
              <w:top w:w="20" w:type="dxa"/>
              <w:left w:w="20" w:type="dxa"/>
              <w:bottom w:w="20" w:type="dxa"/>
              <w:right w:w="20" w:type="dxa"/>
            </w:tcMar>
            <w:vAlign w:val="center"/>
          </w:tcPr>
          <w:p w14:paraId="4FFE4942">
            <w:pPr>
              <w:wordWrap w:val="0"/>
            </w:pPr>
          </w:p>
        </w:tc>
      </w:tr>
      <w:tr w14:paraId="551AC82E">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555" w:hRule="exact"/>
          <w:jc w:val="center"/>
        </w:trPr>
        <w:tc>
          <w:tcPr>
            <w:tcW w:w="7725" w:type="dxa"/>
            <w:gridSpan w:val="2"/>
            <w:tcBorders>
              <w:top w:val="nil"/>
              <w:left w:val="nil"/>
              <w:bottom w:val="nil"/>
              <w:right w:val="nil"/>
            </w:tcBorders>
            <w:tcMar>
              <w:top w:w="20" w:type="dxa"/>
              <w:left w:w="20" w:type="dxa"/>
              <w:bottom w:w="20" w:type="dxa"/>
              <w:right w:w="20" w:type="dxa"/>
            </w:tcMar>
            <w:vAlign w:val="center"/>
          </w:tcPr>
          <w:p w14:paraId="3C87560A">
            <w:pPr>
              <w:wordWrap w:val="0"/>
            </w:pPr>
          </w:p>
        </w:tc>
        <w:tc>
          <w:tcPr>
            <w:tcW w:w="1860" w:type="dxa"/>
            <w:tcBorders>
              <w:top w:val="nil"/>
              <w:left w:val="nil"/>
              <w:bottom w:val="nil"/>
              <w:right w:val="nil"/>
            </w:tcBorders>
            <w:tcMar>
              <w:top w:w="20" w:type="dxa"/>
              <w:left w:w="20" w:type="dxa"/>
              <w:bottom w:w="20" w:type="dxa"/>
              <w:right w:w="20" w:type="dxa"/>
            </w:tcMar>
            <w:vAlign w:val="center"/>
          </w:tcPr>
          <w:p w14:paraId="669F9BE7">
            <w:pPr>
              <w:wordWrap w:val="0"/>
            </w:pPr>
          </w:p>
        </w:tc>
      </w:tr>
    </w:tbl>
    <w:p w14:paraId="5D585FB5">
      <w:pPr>
        <w:spacing w:before="0" w:after="0" w:line="390" w:lineRule="exact"/>
      </w:pPr>
    </w:p>
    <w:p w14:paraId="01FEC8CA">
      <w:pPr>
        <w:sectPr>
          <w:footerReference r:id="rId4" w:type="default"/>
          <w:pgSz w:w="11907" w:h="16839"/>
          <w:pgMar w:top="1077" w:right="1154" w:bottom="1077" w:left="1154" w:header="720" w:footer="720" w:gutter="0"/>
          <w:pgNumType w:start="1"/>
          <w:cols w:space="720" w:num="1"/>
        </w:sectPr>
      </w:pPr>
    </w:p>
    <w:p w14:paraId="132B568F">
      <w:pPr>
        <w:wordWrap w:val="0"/>
        <w:spacing w:before="75" w:after="75"/>
        <w:jc w:val="center"/>
        <w:outlineLvl w:val="0"/>
      </w:pPr>
      <w:r>
        <w:rPr>
          <w:rFonts w:ascii="宋体" w:hAnsi="宋体" w:eastAsia="宋体" w:cs="宋体"/>
          <w:b/>
          <w:color w:val="000000"/>
          <w:sz w:val="40"/>
        </w:rPr>
        <w:t>第二部分 供应商须知</w:t>
      </w:r>
    </w:p>
    <w:p w14:paraId="6383F2F5">
      <w:pPr>
        <w:wordWrap w:val="0"/>
        <w:spacing w:before="227" w:after="227"/>
        <w:jc w:val="center"/>
        <w:outlineLvl w:val="1"/>
      </w:pPr>
      <w:r>
        <w:rPr>
          <w:rFonts w:ascii="宋体" w:hAnsi="宋体" w:eastAsia="宋体" w:cs="宋体"/>
          <w:b/>
          <w:color w:val="000000"/>
          <w:sz w:val="32"/>
        </w:rPr>
        <w:t>前附表</w:t>
      </w:r>
    </w:p>
    <w:tbl>
      <w:tblPr>
        <w:tblStyle w:val="2"/>
        <w:tblW w:w="9600"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630"/>
        <w:gridCol w:w="1635"/>
        <w:gridCol w:w="7335"/>
      </w:tblGrid>
      <w:tr w14:paraId="16D3BDD5">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PrEx>
        <w:trPr>
          <w:trHeight w:val="390"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3D77511E">
            <w:pPr>
              <w:wordWrap w:val="0"/>
              <w:spacing w:after="0" w:line="273" w:lineRule="exact"/>
              <w:jc w:val="center"/>
            </w:pPr>
            <w:r>
              <w:rPr>
                <w:rFonts w:ascii="宋体" w:hAnsi="宋体" w:eastAsia="宋体" w:cs="宋体"/>
                <w:b/>
                <w:color w:val="000000"/>
                <w:sz w:val="21"/>
              </w:rPr>
              <w:t>序号</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3672893E">
            <w:pPr>
              <w:wordWrap w:val="0"/>
              <w:spacing w:after="0" w:line="273" w:lineRule="exact"/>
              <w:jc w:val="center"/>
            </w:pPr>
            <w:r>
              <w:rPr>
                <w:rFonts w:ascii="宋体" w:hAnsi="宋体" w:eastAsia="宋体" w:cs="宋体"/>
                <w:b/>
                <w:color w:val="000000"/>
                <w:sz w:val="21"/>
              </w:rPr>
              <w:t>事项</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40938DB4">
            <w:pPr>
              <w:wordWrap w:val="0"/>
              <w:spacing w:after="0" w:line="273" w:lineRule="exact"/>
              <w:jc w:val="center"/>
            </w:pPr>
            <w:r>
              <w:rPr>
                <w:rFonts w:ascii="宋体" w:hAnsi="宋体" w:eastAsia="宋体" w:cs="宋体"/>
                <w:b/>
                <w:color w:val="000000"/>
                <w:sz w:val="21"/>
              </w:rPr>
              <w:t>本项目的特别规定</w:t>
            </w:r>
          </w:p>
        </w:tc>
      </w:tr>
      <w:tr w14:paraId="00837204">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38CA138A">
            <w:pPr>
              <w:wordWrap w:val="0"/>
              <w:jc w:val="center"/>
            </w:pPr>
            <w:r>
              <w:rPr>
                <w:rFonts w:ascii="Courier New" w:hAnsi="Courier New" w:eastAsia="Courier New" w:cs="Courier New"/>
                <w:color w:val="000000"/>
                <w:sz w:val="21"/>
              </w:rPr>
              <w:t>1</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6192A899">
            <w:pPr>
              <w:wordWrap w:val="0"/>
              <w:jc w:val="center"/>
            </w:pPr>
            <w:r>
              <w:rPr>
                <w:rFonts w:ascii="宋体" w:hAnsi="宋体" w:eastAsia="宋体" w:cs="宋体"/>
                <w:color w:val="000000"/>
                <w:sz w:val="21"/>
              </w:rPr>
              <w:t>项目名称</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108AAB42">
            <w:pPr>
              <w:wordWrap w:val="0"/>
              <w:spacing w:after="0" w:line="273" w:lineRule="exact"/>
              <w:jc w:val="left"/>
            </w:pPr>
            <w:r>
              <w:rPr>
                <w:rFonts w:ascii="宋体" w:hAnsi="宋体" w:eastAsia="宋体" w:cs="宋体"/>
                <w:color w:val="000000"/>
                <w:sz w:val="21"/>
              </w:rPr>
              <w:t>发展规划处关于学校办学质量与发展战略评价采购项目</w:t>
            </w:r>
          </w:p>
        </w:tc>
      </w:tr>
      <w:tr w14:paraId="5B6E781A">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740557D4">
            <w:pPr>
              <w:wordWrap w:val="0"/>
              <w:jc w:val="center"/>
            </w:pPr>
            <w:r>
              <w:rPr>
                <w:rFonts w:ascii="Courier New" w:hAnsi="Courier New" w:eastAsia="Courier New" w:cs="Courier New"/>
                <w:color w:val="000000"/>
                <w:sz w:val="21"/>
              </w:rPr>
              <w:t>2</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184DF670">
            <w:pPr>
              <w:wordWrap w:val="0"/>
              <w:jc w:val="center"/>
            </w:pPr>
            <w:r>
              <w:rPr>
                <w:rFonts w:ascii="宋体" w:hAnsi="宋体" w:eastAsia="宋体" w:cs="宋体"/>
                <w:color w:val="000000"/>
                <w:sz w:val="21"/>
              </w:rPr>
              <w:t>项目地点</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6FE9B6CD">
            <w:pPr>
              <w:wordWrap w:val="0"/>
              <w:spacing w:after="0" w:line="273" w:lineRule="exact"/>
              <w:jc w:val="left"/>
            </w:pPr>
            <w:r>
              <w:rPr>
                <w:rFonts w:ascii="宋体" w:hAnsi="宋体" w:eastAsia="宋体" w:cs="宋体"/>
                <w:color w:val="000000"/>
                <w:sz w:val="21"/>
              </w:rPr>
              <w:t>湖州师范学院</w:t>
            </w:r>
          </w:p>
        </w:tc>
      </w:tr>
      <w:tr w14:paraId="2ADE4314">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5F3090C7">
            <w:pPr>
              <w:wordWrap w:val="0"/>
              <w:jc w:val="center"/>
            </w:pPr>
            <w:r>
              <w:rPr>
                <w:rFonts w:ascii="Courier New" w:hAnsi="Courier New" w:eastAsia="Courier New" w:cs="Courier New"/>
                <w:color w:val="000000"/>
                <w:sz w:val="21"/>
              </w:rPr>
              <w:t>3</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75E5695A">
            <w:pPr>
              <w:wordWrap w:val="0"/>
              <w:jc w:val="center"/>
            </w:pPr>
            <w:r>
              <w:rPr>
                <w:rFonts w:ascii="宋体" w:hAnsi="宋体" w:eastAsia="宋体" w:cs="宋体"/>
                <w:color w:val="000000"/>
                <w:sz w:val="21"/>
              </w:rPr>
              <w:t>响应文件份数</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top"/>
          </w:tcPr>
          <w:p w14:paraId="04F97BA3">
            <w:pPr>
              <w:wordWrap w:val="0"/>
              <w:spacing w:after="0" w:line="273" w:lineRule="exact"/>
              <w:jc w:val="left"/>
            </w:pPr>
            <w:r>
              <w:rPr>
                <w:rFonts w:ascii="宋体" w:hAnsi="宋体" w:eastAsia="宋体" w:cs="宋体"/>
                <w:color w:val="000000"/>
                <w:sz w:val="21"/>
              </w:rPr>
              <w:t>正本1份，副本1份。（胶装成册，拒收活页装订，密封包装。）</w:t>
            </w:r>
          </w:p>
        </w:tc>
      </w:tr>
      <w:tr w14:paraId="2503A961">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10AD82F8">
            <w:pPr>
              <w:wordWrap w:val="0"/>
              <w:jc w:val="center"/>
            </w:pPr>
            <w:r>
              <w:rPr>
                <w:rFonts w:ascii="Courier New" w:hAnsi="Courier New" w:eastAsia="Courier New" w:cs="Courier New"/>
                <w:color w:val="000000"/>
                <w:sz w:val="21"/>
              </w:rPr>
              <w:t>4</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4644650A">
            <w:pPr>
              <w:wordWrap w:val="0"/>
              <w:jc w:val="center"/>
            </w:pPr>
            <w:r>
              <w:rPr>
                <w:rFonts w:ascii="宋体" w:hAnsi="宋体" w:eastAsia="宋体" w:cs="宋体"/>
                <w:color w:val="000000"/>
                <w:sz w:val="21"/>
              </w:rPr>
              <w:t>服务期限</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1BF64CCF">
            <w:pPr>
              <w:wordWrap w:val="0"/>
              <w:spacing w:after="0" w:line="273" w:lineRule="exact"/>
              <w:jc w:val="left"/>
            </w:pPr>
            <w:r>
              <w:rPr>
                <w:rFonts w:ascii="宋体" w:hAnsi="宋体" w:eastAsia="宋体" w:cs="宋体"/>
                <w:color w:val="000000"/>
                <w:sz w:val="21"/>
              </w:rPr>
              <w:t>合同签订并生效后2年。</w:t>
            </w:r>
          </w:p>
        </w:tc>
      </w:tr>
      <w:tr w14:paraId="5C1205EB">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0F2B46EF">
            <w:pPr>
              <w:wordWrap w:val="0"/>
              <w:jc w:val="center"/>
            </w:pPr>
            <w:r>
              <w:rPr>
                <w:rFonts w:ascii="Courier New" w:hAnsi="Courier New" w:eastAsia="Courier New" w:cs="Courier New"/>
                <w:color w:val="000000"/>
                <w:sz w:val="21"/>
              </w:rPr>
              <w:t>5</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58436A60">
            <w:pPr>
              <w:wordWrap w:val="0"/>
              <w:spacing w:after="0" w:line="273" w:lineRule="exact"/>
              <w:jc w:val="center"/>
            </w:pPr>
            <w:r>
              <w:rPr>
                <w:rFonts w:ascii="宋体" w:hAnsi="宋体" w:eastAsia="宋体" w:cs="宋体"/>
                <w:color w:val="000000"/>
                <w:sz w:val="21"/>
              </w:rPr>
              <w:t>项目预算</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115C67F1">
            <w:pPr>
              <w:wordWrap w:val="0"/>
              <w:spacing w:after="0" w:line="273" w:lineRule="exact"/>
              <w:jc w:val="left"/>
            </w:pPr>
            <w:r>
              <w:rPr>
                <w:rFonts w:ascii="宋体" w:hAnsi="宋体" w:eastAsia="宋体" w:cs="宋体"/>
                <w:color w:val="000000"/>
                <w:sz w:val="21"/>
              </w:rPr>
              <w:t>30.00万元</w:t>
            </w:r>
          </w:p>
        </w:tc>
      </w:tr>
      <w:tr w14:paraId="0FD842B0">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2B3777A8">
            <w:pPr>
              <w:wordWrap w:val="0"/>
              <w:jc w:val="center"/>
            </w:pPr>
            <w:r>
              <w:rPr>
                <w:rFonts w:ascii="Courier New" w:hAnsi="Courier New" w:eastAsia="Courier New" w:cs="Courier New"/>
                <w:color w:val="000000"/>
                <w:sz w:val="21"/>
              </w:rPr>
              <w:t>6</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194DE33E">
            <w:pPr>
              <w:wordWrap w:val="0"/>
              <w:spacing w:after="0" w:line="273" w:lineRule="exact"/>
              <w:jc w:val="center"/>
            </w:pPr>
            <w:r>
              <w:rPr>
                <w:rFonts w:ascii="宋体" w:hAnsi="宋体" w:eastAsia="宋体" w:cs="宋体"/>
                <w:color w:val="000000"/>
                <w:sz w:val="21"/>
              </w:rPr>
              <w:t>最高限价</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7B1F5BD7">
            <w:pPr>
              <w:wordWrap w:val="0"/>
              <w:spacing w:after="0" w:line="273" w:lineRule="exact"/>
              <w:jc w:val="left"/>
            </w:pPr>
            <w:r>
              <w:rPr>
                <w:rFonts w:ascii="宋体" w:hAnsi="宋体" w:eastAsia="宋体" w:cs="宋体"/>
                <w:color w:val="000000"/>
                <w:sz w:val="21"/>
              </w:rPr>
              <w:t>30.00万元</w:t>
            </w:r>
          </w:p>
        </w:tc>
      </w:tr>
      <w:tr w14:paraId="38F23DD2">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660"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31F78F7D">
            <w:pPr>
              <w:wordWrap w:val="0"/>
              <w:jc w:val="center"/>
            </w:pPr>
            <w:r>
              <w:rPr>
                <w:rFonts w:ascii="Courier New" w:hAnsi="Courier New" w:eastAsia="Courier New" w:cs="Courier New"/>
                <w:color w:val="000000"/>
                <w:sz w:val="21"/>
              </w:rPr>
              <w:t>7</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2C9290B8">
            <w:pPr>
              <w:wordWrap w:val="0"/>
              <w:spacing w:after="0" w:line="273" w:lineRule="exact"/>
              <w:jc w:val="center"/>
            </w:pPr>
            <w:r>
              <w:rPr>
                <w:rFonts w:ascii="宋体" w:hAnsi="宋体" w:eastAsia="宋体" w:cs="宋体"/>
                <w:color w:val="000000"/>
                <w:sz w:val="21"/>
              </w:rPr>
              <w:t>谈判响应文件接收时间地点</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6EA9A488">
            <w:pPr>
              <w:wordWrap w:val="0"/>
              <w:spacing w:after="0" w:line="273" w:lineRule="exact"/>
              <w:jc w:val="left"/>
            </w:pPr>
            <w:r>
              <w:rPr>
                <w:rFonts w:ascii="宋体" w:hAnsi="宋体" w:eastAsia="宋体" w:cs="宋体"/>
                <w:color w:val="000000"/>
                <w:sz w:val="21"/>
              </w:rPr>
              <w:t>谈判响应文件接收截止时间：</w:t>
            </w:r>
            <w:r>
              <w:rPr>
                <w:rFonts w:hint="eastAsia" w:ascii="宋体" w:hAnsi="宋体" w:eastAsia="宋体" w:cs="宋体"/>
                <w:color w:val="000000"/>
                <w:sz w:val="21"/>
                <w:lang w:val="en-US" w:eastAsia="zh-CN"/>
              </w:rPr>
              <w:t>2025年11月3日14:00</w:t>
            </w:r>
            <w:r>
              <w:rPr>
                <w:rFonts w:ascii="宋体" w:hAnsi="宋体" w:eastAsia="宋体" w:cs="宋体"/>
                <w:color w:val="000000"/>
                <w:sz w:val="21"/>
              </w:rPr>
              <w:t>（北京时间）</w:t>
            </w:r>
          </w:p>
          <w:p w14:paraId="56E23A3B">
            <w:pPr>
              <w:wordWrap w:val="0"/>
              <w:spacing w:before="0" w:after="0" w:line="273" w:lineRule="exact"/>
              <w:jc w:val="left"/>
            </w:pPr>
            <w:r>
              <w:rPr>
                <w:rFonts w:ascii="宋体" w:hAnsi="宋体" w:eastAsia="宋体" w:cs="宋体"/>
                <w:color w:val="000000"/>
                <w:sz w:val="21"/>
              </w:rPr>
              <w:t>谈判响应文件接收地点：湖州师范学院东校区明达楼207室</w:t>
            </w:r>
          </w:p>
        </w:tc>
      </w:tr>
      <w:tr w14:paraId="3A0B5184">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660"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3388A12E">
            <w:pPr>
              <w:wordWrap w:val="0"/>
              <w:jc w:val="center"/>
            </w:pPr>
            <w:r>
              <w:rPr>
                <w:rFonts w:ascii="Courier New" w:hAnsi="Courier New" w:eastAsia="Courier New" w:cs="Courier New"/>
                <w:color w:val="000000"/>
                <w:sz w:val="21"/>
              </w:rPr>
              <w:t>8</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7468F3FB">
            <w:pPr>
              <w:wordWrap w:val="0"/>
              <w:spacing w:after="0" w:line="273" w:lineRule="exact"/>
              <w:jc w:val="center"/>
            </w:pPr>
            <w:r>
              <w:rPr>
                <w:rFonts w:ascii="宋体" w:hAnsi="宋体" w:eastAsia="宋体" w:cs="宋体"/>
                <w:color w:val="000000"/>
                <w:sz w:val="21"/>
              </w:rPr>
              <w:t>谈判时间地点</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346D413D">
            <w:pPr>
              <w:wordWrap w:val="0"/>
              <w:spacing w:after="0" w:line="273" w:lineRule="exact"/>
              <w:jc w:val="left"/>
            </w:pPr>
            <w:r>
              <w:rPr>
                <w:rFonts w:ascii="宋体" w:hAnsi="宋体" w:eastAsia="宋体" w:cs="宋体"/>
                <w:color w:val="000000"/>
                <w:sz w:val="21"/>
              </w:rPr>
              <w:t>谈判时间：</w:t>
            </w:r>
            <w:r>
              <w:rPr>
                <w:rFonts w:hint="eastAsia" w:ascii="宋体" w:hAnsi="宋体" w:eastAsia="宋体" w:cs="宋体"/>
                <w:color w:val="000000"/>
                <w:sz w:val="21"/>
                <w:lang w:val="en-US" w:eastAsia="zh-CN"/>
              </w:rPr>
              <w:t>2025年11月3日14:00</w:t>
            </w:r>
            <w:r>
              <w:rPr>
                <w:rFonts w:ascii="宋体" w:hAnsi="宋体" w:eastAsia="宋体" w:cs="宋体"/>
                <w:color w:val="000000"/>
                <w:sz w:val="21"/>
              </w:rPr>
              <w:t>（北京时间）</w:t>
            </w:r>
          </w:p>
          <w:p w14:paraId="0907988C">
            <w:pPr>
              <w:wordWrap w:val="0"/>
              <w:spacing w:before="0" w:after="0" w:line="273" w:lineRule="exact"/>
              <w:jc w:val="left"/>
            </w:pPr>
            <w:r>
              <w:rPr>
                <w:rFonts w:ascii="宋体" w:hAnsi="宋体" w:eastAsia="宋体" w:cs="宋体"/>
                <w:color w:val="000000"/>
                <w:sz w:val="21"/>
              </w:rPr>
              <w:t>谈判地点：湖州师范学院东校区明达楼20</w:t>
            </w:r>
            <w:r>
              <w:rPr>
                <w:rFonts w:hint="eastAsia" w:ascii="宋体" w:hAnsi="宋体" w:eastAsia="宋体" w:cs="宋体"/>
                <w:color w:val="000000"/>
                <w:sz w:val="21"/>
                <w:lang w:val="en-US" w:eastAsia="zh-CN"/>
              </w:rPr>
              <w:t>4</w:t>
            </w:r>
            <w:r>
              <w:rPr>
                <w:rFonts w:ascii="宋体" w:hAnsi="宋体" w:eastAsia="宋体" w:cs="宋体"/>
                <w:color w:val="000000"/>
                <w:sz w:val="21"/>
              </w:rPr>
              <w:t>室</w:t>
            </w:r>
          </w:p>
        </w:tc>
      </w:tr>
      <w:tr w14:paraId="338215F2">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61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6AE2C6BC">
            <w:pPr>
              <w:wordWrap w:val="0"/>
              <w:jc w:val="center"/>
            </w:pPr>
            <w:r>
              <w:rPr>
                <w:rFonts w:ascii="Courier New" w:hAnsi="Courier New" w:eastAsia="Courier New" w:cs="Courier New"/>
                <w:color w:val="000000"/>
                <w:sz w:val="21"/>
              </w:rPr>
              <w:t>9</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4038EAFD">
            <w:pPr>
              <w:wordWrap w:val="0"/>
              <w:spacing w:after="0" w:line="273" w:lineRule="exact"/>
              <w:jc w:val="center"/>
            </w:pPr>
            <w:r>
              <w:rPr>
                <w:rFonts w:ascii="宋体" w:hAnsi="宋体" w:eastAsia="宋体" w:cs="宋体"/>
                <w:color w:val="000000"/>
                <w:sz w:val="21"/>
              </w:rPr>
              <w:t>谈判响应文件</w:t>
            </w:r>
          </w:p>
          <w:p w14:paraId="125A8956">
            <w:pPr>
              <w:wordWrap w:val="0"/>
              <w:spacing w:before="0" w:after="0" w:line="273" w:lineRule="exact"/>
              <w:jc w:val="center"/>
            </w:pPr>
            <w:r>
              <w:rPr>
                <w:rFonts w:ascii="宋体" w:hAnsi="宋体" w:eastAsia="宋体" w:cs="宋体"/>
                <w:color w:val="000000"/>
                <w:sz w:val="21"/>
              </w:rPr>
              <w:t>有效期限</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7E129AA8">
            <w:pPr>
              <w:wordWrap w:val="0"/>
              <w:spacing w:after="0" w:line="273" w:lineRule="exact"/>
              <w:jc w:val="left"/>
            </w:pPr>
            <w:r>
              <w:rPr>
                <w:rFonts w:ascii="宋体" w:hAnsi="宋体" w:eastAsia="宋体" w:cs="宋体"/>
                <w:color w:val="000000"/>
                <w:sz w:val="21"/>
              </w:rPr>
              <w:t>自谈判之日起60天</w:t>
            </w:r>
          </w:p>
        </w:tc>
      </w:tr>
      <w:tr w14:paraId="1D96BA62">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435" w:hRule="atLeast"/>
          <w:jc w:val="center"/>
        </w:trPr>
        <w:tc>
          <w:tcPr>
            <w:tcW w:w="630" w:type="dxa"/>
            <w:tcBorders>
              <w:top w:val="single" w:color="auto" w:sz="6" w:space="0"/>
              <w:left w:val="single" w:color="auto" w:sz="6" w:space="0"/>
              <w:bottom w:val="nil"/>
              <w:right w:val="nil"/>
            </w:tcBorders>
            <w:tcMar>
              <w:top w:w="20" w:type="dxa"/>
              <w:left w:w="20" w:type="dxa"/>
              <w:bottom w:w="20" w:type="dxa"/>
              <w:right w:w="20" w:type="dxa"/>
            </w:tcMar>
            <w:vAlign w:val="center"/>
          </w:tcPr>
          <w:p w14:paraId="1A70BB5D">
            <w:pPr>
              <w:wordWrap w:val="0"/>
              <w:jc w:val="center"/>
            </w:pPr>
            <w:r>
              <w:rPr>
                <w:rFonts w:ascii="Courier New" w:hAnsi="Courier New" w:eastAsia="Courier New" w:cs="Courier New"/>
                <w:color w:val="000000"/>
                <w:sz w:val="21"/>
              </w:rPr>
              <w:t>10</w:t>
            </w:r>
          </w:p>
        </w:tc>
        <w:tc>
          <w:tcPr>
            <w:tcW w:w="1635" w:type="dxa"/>
            <w:tcBorders>
              <w:top w:val="single" w:color="auto" w:sz="6" w:space="0"/>
              <w:left w:val="single" w:color="auto" w:sz="6" w:space="0"/>
              <w:bottom w:val="nil"/>
              <w:right w:val="nil"/>
            </w:tcBorders>
            <w:tcMar>
              <w:top w:w="20" w:type="dxa"/>
              <w:left w:w="20" w:type="dxa"/>
              <w:bottom w:w="20" w:type="dxa"/>
              <w:right w:w="20" w:type="dxa"/>
            </w:tcMar>
            <w:vAlign w:val="center"/>
          </w:tcPr>
          <w:p w14:paraId="736C9626">
            <w:pPr>
              <w:wordWrap w:val="0"/>
              <w:spacing w:after="0" w:line="273" w:lineRule="exact"/>
              <w:jc w:val="center"/>
            </w:pPr>
            <w:r>
              <w:rPr>
                <w:rFonts w:ascii="宋体" w:hAnsi="宋体" w:eastAsia="宋体" w:cs="宋体"/>
                <w:color w:val="000000"/>
                <w:sz w:val="21"/>
              </w:rPr>
              <w:t>特别说明</w:t>
            </w:r>
          </w:p>
        </w:tc>
        <w:tc>
          <w:tcPr>
            <w:tcW w:w="7335"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673A0E46">
            <w:pPr>
              <w:wordWrap w:val="0"/>
              <w:spacing w:after="0" w:line="273" w:lineRule="exact"/>
              <w:jc w:val="left"/>
            </w:pPr>
            <w:r>
              <w:rPr>
                <w:rFonts w:ascii="宋体" w:hAnsi="宋体" w:eastAsia="宋体" w:cs="宋体"/>
                <w:color w:val="000000"/>
                <w:sz w:val="21"/>
              </w:rPr>
              <w:t>无</w:t>
            </w:r>
          </w:p>
        </w:tc>
      </w:tr>
      <w:tr w14:paraId="523931D4">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90" w:hRule="exact"/>
          <w:jc w:val="center"/>
        </w:trPr>
        <w:tc>
          <w:tcPr>
            <w:tcW w:w="630" w:type="dxa"/>
            <w:tcBorders>
              <w:top w:val="single" w:color="auto" w:sz="6" w:space="0"/>
              <w:left w:val="nil"/>
              <w:bottom w:val="nil"/>
              <w:right w:val="nil"/>
            </w:tcBorders>
            <w:tcMar>
              <w:top w:w="20" w:type="dxa"/>
              <w:left w:w="20" w:type="dxa"/>
              <w:bottom w:w="20" w:type="dxa"/>
              <w:right w:w="20" w:type="dxa"/>
            </w:tcMar>
            <w:vAlign w:val="center"/>
          </w:tcPr>
          <w:p w14:paraId="4B3989E2">
            <w:pPr>
              <w:wordWrap w:val="0"/>
            </w:pPr>
          </w:p>
        </w:tc>
        <w:tc>
          <w:tcPr>
            <w:tcW w:w="1635" w:type="dxa"/>
            <w:tcBorders>
              <w:top w:val="single" w:color="auto" w:sz="6" w:space="0"/>
              <w:left w:val="nil"/>
              <w:bottom w:val="nil"/>
              <w:right w:val="nil"/>
            </w:tcBorders>
            <w:tcMar>
              <w:top w:w="20" w:type="dxa"/>
              <w:left w:w="20" w:type="dxa"/>
              <w:bottom w:w="20" w:type="dxa"/>
              <w:right w:w="20" w:type="dxa"/>
            </w:tcMar>
            <w:vAlign w:val="center"/>
          </w:tcPr>
          <w:p w14:paraId="5B8C907F">
            <w:pPr>
              <w:wordWrap w:val="0"/>
            </w:pPr>
          </w:p>
        </w:tc>
        <w:tc>
          <w:tcPr>
            <w:tcW w:w="7335" w:type="dxa"/>
            <w:tcBorders>
              <w:top w:val="single" w:color="auto" w:sz="6" w:space="0"/>
              <w:left w:val="nil"/>
              <w:bottom w:val="nil"/>
              <w:right w:val="nil"/>
            </w:tcBorders>
            <w:tcMar>
              <w:top w:w="20" w:type="dxa"/>
              <w:left w:w="20" w:type="dxa"/>
              <w:bottom w:w="20" w:type="dxa"/>
              <w:right w:w="20" w:type="dxa"/>
            </w:tcMar>
            <w:vAlign w:val="center"/>
          </w:tcPr>
          <w:p w14:paraId="31AA90E5">
            <w:pPr>
              <w:wordWrap w:val="0"/>
            </w:pPr>
          </w:p>
        </w:tc>
      </w:tr>
    </w:tbl>
    <w:p w14:paraId="7B774277">
      <w:pPr>
        <w:sectPr>
          <w:pgSz w:w="11907" w:h="16839"/>
          <w:pgMar w:top="1077" w:right="1154" w:bottom="1077" w:left="1154" w:header="720" w:footer="720" w:gutter="0"/>
          <w:cols w:space="720" w:num="1"/>
        </w:sectPr>
      </w:pPr>
    </w:p>
    <w:p w14:paraId="2CCE548A">
      <w:pPr>
        <w:wordWrap w:val="0"/>
        <w:spacing w:before="207" w:after="207"/>
        <w:ind w:firstLineChars="100"/>
        <w:jc w:val="center"/>
        <w:outlineLvl w:val="1"/>
      </w:pPr>
      <w:r>
        <w:rPr>
          <w:rFonts w:ascii="宋体" w:hAnsi="宋体" w:eastAsia="宋体" w:cs="宋体"/>
          <w:b/>
          <w:color w:val="000000"/>
          <w:sz w:val="32"/>
        </w:rPr>
        <w:t>一、总则</w:t>
      </w:r>
    </w:p>
    <w:p w14:paraId="28F40B6E">
      <w:pPr>
        <w:wordWrap w:val="0"/>
        <w:spacing w:before="48" w:after="48"/>
        <w:ind w:firstLineChars="150"/>
        <w:jc w:val="left"/>
        <w:outlineLvl w:val="2"/>
      </w:pPr>
      <w:r>
        <w:rPr>
          <w:rFonts w:ascii="黑体" w:hAnsi="黑体" w:eastAsia="黑体" w:cs="黑体"/>
          <w:color w:val="000000"/>
          <w:sz w:val="28"/>
        </w:rPr>
        <w:t>1、采购方式</w:t>
      </w:r>
    </w:p>
    <w:p w14:paraId="59423559">
      <w:pPr>
        <w:wordWrap w:val="0"/>
        <w:spacing w:after="0" w:line="378" w:lineRule="exact"/>
        <w:ind w:firstLineChars="200"/>
        <w:jc w:val="left"/>
      </w:pPr>
      <w:r>
        <w:rPr>
          <w:rFonts w:ascii="宋体" w:hAnsi="宋体" w:eastAsia="宋体" w:cs="宋体"/>
          <w:color w:val="000000"/>
          <w:sz w:val="21"/>
        </w:rPr>
        <w:t>1.1 单一来源。</w:t>
      </w:r>
    </w:p>
    <w:p w14:paraId="737A6394">
      <w:pPr>
        <w:wordWrap w:val="0"/>
        <w:spacing w:before="48" w:after="48"/>
        <w:ind w:firstLineChars="150"/>
        <w:jc w:val="left"/>
        <w:outlineLvl w:val="2"/>
      </w:pPr>
      <w:r>
        <w:rPr>
          <w:rFonts w:ascii="黑体" w:hAnsi="黑体" w:eastAsia="黑体" w:cs="黑体"/>
          <w:color w:val="000000"/>
          <w:sz w:val="28"/>
        </w:rPr>
        <w:t>2、合格的谈判供应商应具备的资格要求</w:t>
      </w:r>
    </w:p>
    <w:p w14:paraId="608339A4">
      <w:pPr>
        <w:wordWrap w:val="0"/>
        <w:spacing w:after="0" w:line="378" w:lineRule="exact"/>
        <w:ind w:firstLineChars="200"/>
        <w:jc w:val="left"/>
      </w:pPr>
      <w:r>
        <w:rPr>
          <w:rFonts w:ascii="宋体" w:hAnsi="宋体" w:eastAsia="宋体" w:cs="宋体"/>
          <w:color w:val="000000"/>
          <w:sz w:val="21"/>
        </w:rPr>
        <w:t>2.1 合格的谈判供应商应具备的资格要求，见采购文件第一部分“邀请函”第二条。</w:t>
      </w:r>
    </w:p>
    <w:p w14:paraId="3ECD1DEB">
      <w:pPr>
        <w:wordWrap w:val="0"/>
        <w:spacing w:before="48" w:after="48"/>
        <w:ind w:firstLineChars="150"/>
        <w:jc w:val="left"/>
        <w:outlineLvl w:val="2"/>
      </w:pPr>
      <w:r>
        <w:rPr>
          <w:rFonts w:ascii="黑体" w:hAnsi="黑体" w:eastAsia="黑体" w:cs="黑体"/>
          <w:color w:val="000000"/>
          <w:sz w:val="28"/>
        </w:rPr>
        <w:t>3、相关定义</w:t>
      </w:r>
    </w:p>
    <w:p w14:paraId="3D15C217">
      <w:pPr>
        <w:wordWrap w:val="0"/>
        <w:spacing w:after="0" w:line="378" w:lineRule="exact"/>
        <w:ind w:firstLineChars="200"/>
        <w:jc w:val="left"/>
      </w:pPr>
      <w:r>
        <w:rPr>
          <w:rFonts w:ascii="宋体" w:hAnsi="宋体" w:eastAsia="宋体" w:cs="宋体"/>
          <w:color w:val="000000"/>
          <w:sz w:val="21"/>
        </w:rPr>
        <w:t>3.1 “谈判供应商”系指符合采购文件要求，按规定提交响应文件的合格企业。</w:t>
      </w:r>
    </w:p>
    <w:p w14:paraId="70FC71A3">
      <w:pPr>
        <w:wordWrap w:val="0"/>
        <w:spacing w:before="0" w:after="0" w:line="378" w:lineRule="exact"/>
        <w:ind w:firstLineChars="200"/>
        <w:jc w:val="left"/>
      </w:pPr>
      <w:r>
        <w:rPr>
          <w:rFonts w:ascii="宋体" w:hAnsi="宋体" w:eastAsia="宋体" w:cs="宋体"/>
          <w:color w:val="000000"/>
          <w:sz w:val="21"/>
        </w:rPr>
        <w:t>3.2 “服务”系指谈判供应商按采购文件规定，须承担的设计、安装、调试、试运行、技术协助、培训、售后服务以及其他类似的义务。具体内容和相关要求详见采购文件第三部分。</w:t>
      </w:r>
    </w:p>
    <w:p w14:paraId="4736884C">
      <w:pPr>
        <w:wordWrap w:val="0"/>
        <w:spacing w:before="0" w:after="0" w:line="378" w:lineRule="exact"/>
        <w:ind w:firstLineChars="200"/>
        <w:jc w:val="left"/>
      </w:pPr>
      <w:r>
        <w:rPr>
          <w:rFonts w:ascii="宋体" w:hAnsi="宋体" w:eastAsia="宋体" w:cs="宋体"/>
          <w:color w:val="000000"/>
          <w:sz w:val="21"/>
        </w:rPr>
        <w:t>3.3 “货物”系指谈判供应商按采购文件规定或合同要求，须向采购人提供的一切材料、软件产品、机械、仪器、备件、配件、工具、手册及其他技术资料和文字材料。</w:t>
      </w:r>
    </w:p>
    <w:p w14:paraId="1971532B">
      <w:pPr>
        <w:wordWrap w:val="0"/>
        <w:spacing w:before="207" w:after="207"/>
        <w:ind w:firstLineChars="100"/>
        <w:jc w:val="center"/>
        <w:outlineLvl w:val="1"/>
      </w:pPr>
      <w:r>
        <w:rPr>
          <w:rFonts w:ascii="宋体" w:hAnsi="宋体" w:eastAsia="宋体" w:cs="宋体"/>
          <w:b/>
          <w:color w:val="000000"/>
          <w:sz w:val="32"/>
        </w:rPr>
        <w:t>二、采购文件</w:t>
      </w:r>
    </w:p>
    <w:p w14:paraId="5F07A53B">
      <w:pPr>
        <w:wordWrap w:val="0"/>
        <w:spacing w:before="96"/>
        <w:ind w:firstLineChars="150"/>
        <w:jc w:val="left"/>
        <w:outlineLvl w:val="2"/>
      </w:pPr>
      <w:r>
        <w:rPr>
          <w:rFonts w:ascii="黑体" w:hAnsi="黑体" w:eastAsia="黑体" w:cs="黑体"/>
          <w:color w:val="000000"/>
          <w:sz w:val="28"/>
        </w:rPr>
        <w:t>4、采购文件的构成</w:t>
      </w:r>
    </w:p>
    <w:p w14:paraId="537464B7">
      <w:pPr>
        <w:wordWrap w:val="0"/>
        <w:spacing w:after="0" w:line="378" w:lineRule="exact"/>
        <w:ind w:firstLineChars="200"/>
        <w:jc w:val="left"/>
      </w:pPr>
      <w:r>
        <w:rPr>
          <w:rFonts w:ascii="宋体" w:hAnsi="宋体" w:eastAsia="宋体" w:cs="宋体"/>
          <w:color w:val="000000"/>
          <w:sz w:val="21"/>
        </w:rPr>
        <w:t>4.1 采购文件包括下列文件及附件：</w:t>
      </w:r>
    </w:p>
    <w:p w14:paraId="77B5EFAF">
      <w:pPr>
        <w:wordWrap w:val="0"/>
        <w:spacing w:before="0" w:after="0" w:line="378" w:lineRule="exact"/>
        <w:ind w:firstLineChars="350"/>
        <w:jc w:val="left"/>
      </w:pPr>
      <w:r>
        <w:rPr>
          <w:rFonts w:ascii="宋体" w:hAnsi="宋体" w:eastAsia="宋体" w:cs="宋体"/>
          <w:color w:val="000000"/>
          <w:sz w:val="21"/>
        </w:rPr>
        <w:t>4.1.1 邀请函；</w:t>
      </w:r>
    </w:p>
    <w:p w14:paraId="5D2CE391">
      <w:pPr>
        <w:wordWrap w:val="0"/>
        <w:spacing w:before="0" w:after="0" w:line="378" w:lineRule="exact"/>
        <w:ind w:firstLineChars="350"/>
        <w:jc w:val="left"/>
      </w:pPr>
      <w:r>
        <w:rPr>
          <w:rFonts w:ascii="宋体" w:hAnsi="宋体" w:eastAsia="宋体" w:cs="宋体"/>
          <w:color w:val="000000"/>
          <w:sz w:val="21"/>
        </w:rPr>
        <w:t>4.1.2 供应商须知；</w:t>
      </w:r>
    </w:p>
    <w:p w14:paraId="7B1BA6F8">
      <w:pPr>
        <w:wordWrap w:val="0"/>
        <w:spacing w:before="0" w:after="0" w:line="378" w:lineRule="exact"/>
        <w:ind w:firstLineChars="350"/>
        <w:jc w:val="left"/>
      </w:pPr>
      <w:r>
        <w:rPr>
          <w:rFonts w:ascii="宋体" w:hAnsi="宋体" w:eastAsia="宋体" w:cs="宋体"/>
          <w:color w:val="000000"/>
          <w:sz w:val="21"/>
        </w:rPr>
        <w:t>4.1.3 采购需求；</w:t>
      </w:r>
    </w:p>
    <w:p w14:paraId="6BD73459">
      <w:pPr>
        <w:wordWrap w:val="0"/>
        <w:spacing w:before="0" w:after="0" w:line="378" w:lineRule="exact"/>
        <w:ind w:firstLineChars="350"/>
        <w:jc w:val="left"/>
      </w:pPr>
      <w:r>
        <w:rPr>
          <w:rFonts w:ascii="宋体" w:hAnsi="宋体" w:eastAsia="宋体" w:cs="宋体"/>
          <w:color w:val="000000"/>
          <w:sz w:val="21"/>
        </w:rPr>
        <w:t>4.1.4 拟签订的合同文本；</w:t>
      </w:r>
    </w:p>
    <w:p w14:paraId="4575176C">
      <w:pPr>
        <w:wordWrap w:val="0"/>
        <w:spacing w:before="0" w:after="0" w:line="378" w:lineRule="exact"/>
        <w:ind w:firstLineChars="350"/>
        <w:jc w:val="left"/>
      </w:pPr>
      <w:r>
        <w:rPr>
          <w:rFonts w:ascii="宋体" w:hAnsi="宋体" w:eastAsia="宋体" w:cs="宋体"/>
          <w:color w:val="000000"/>
          <w:sz w:val="21"/>
        </w:rPr>
        <w:t>4.1.5 响应文件格式及附件。</w:t>
      </w:r>
    </w:p>
    <w:p w14:paraId="25A7A357">
      <w:pPr>
        <w:wordWrap w:val="0"/>
        <w:spacing w:before="0" w:after="0" w:line="378" w:lineRule="exact"/>
        <w:ind w:firstLineChars="200"/>
        <w:jc w:val="left"/>
      </w:pPr>
      <w:r>
        <w:rPr>
          <w:rFonts w:ascii="宋体" w:hAnsi="宋体" w:eastAsia="宋体" w:cs="宋体"/>
          <w:color w:val="000000"/>
          <w:sz w:val="21"/>
        </w:rPr>
        <w:t>4.2 谈判供应商应认真审阅采购文件中所有的内容，包括编制和提交采购响应文件须知、项目技术规范和服务要求、采购合同的一般和特殊条款、应提交的有关格式范例等。如果谈判供应商编制的响应文件没有从实质上响应采购文件的要求，其响应文件将被采购机构拒绝。</w:t>
      </w:r>
    </w:p>
    <w:p w14:paraId="2EA212C0">
      <w:pPr>
        <w:wordWrap w:val="0"/>
        <w:spacing w:after="0" w:line="503" w:lineRule="exact"/>
        <w:ind w:firstLineChars="150"/>
        <w:jc w:val="left"/>
        <w:outlineLvl w:val="2"/>
      </w:pPr>
      <w:r>
        <w:rPr>
          <w:rFonts w:ascii="黑体" w:hAnsi="黑体" w:eastAsia="黑体" w:cs="黑体"/>
          <w:color w:val="000000"/>
          <w:sz w:val="28"/>
        </w:rPr>
        <w:t>5、采购文件的解释</w:t>
      </w:r>
    </w:p>
    <w:p w14:paraId="741C16E4">
      <w:pPr>
        <w:wordWrap w:val="0"/>
        <w:spacing w:after="0" w:line="378" w:lineRule="exact"/>
        <w:ind w:firstLineChars="200"/>
        <w:jc w:val="left"/>
      </w:pPr>
      <w:r>
        <w:rPr>
          <w:rFonts w:ascii="宋体" w:hAnsi="宋体" w:eastAsia="宋体" w:cs="宋体"/>
          <w:color w:val="000000"/>
          <w:sz w:val="21"/>
        </w:rPr>
        <w:t>5.1 已获取采购文件的谈判供应商，若有问题需要澄清，应于谈判响应截止时间之前以书面形式向采购机构提出，采购机构与采购人研究后，对认为有必要回答的问题，将以书面解答形式通知采购文件收受人。</w:t>
      </w:r>
    </w:p>
    <w:p w14:paraId="10377FAD">
      <w:pPr>
        <w:wordWrap w:val="0"/>
        <w:spacing w:before="0" w:after="0" w:line="378" w:lineRule="exact"/>
        <w:ind w:firstLineChars="200"/>
        <w:jc w:val="left"/>
      </w:pPr>
      <w:r>
        <w:rPr>
          <w:rFonts w:ascii="宋体" w:hAnsi="宋体" w:eastAsia="宋体" w:cs="宋体"/>
          <w:color w:val="000000"/>
          <w:sz w:val="21"/>
        </w:rPr>
        <w:t>5.2 不论采购机构向谈判供应商发送的资料文件，还是谈判供应商提出的问题，均采用书面形式，任何口头提问及答复一律无效。</w:t>
      </w:r>
    </w:p>
    <w:p w14:paraId="1FC59465">
      <w:pPr>
        <w:wordWrap w:val="0"/>
        <w:spacing w:after="0" w:line="503" w:lineRule="exact"/>
        <w:ind w:firstLineChars="150"/>
        <w:jc w:val="left"/>
        <w:outlineLvl w:val="2"/>
      </w:pPr>
      <w:r>
        <w:rPr>
          <w:rFonts w:ascii="黑体" w:hAnsi="黑体" w:eastAsia="黑体" w:cs="黑体"/>
          <w:color w:val="000000"/>
          <w:sz w:val="28"/>
        </w:rPr>
        <w:t>6、采购文件的修改</w:t>
      </w:r>
    </w:p>
    <w:p w14:paraId="74DC7CF4">
      <w:pPr>
        <w:wordWrap w:val="0"/>
        <w:spacing w:after="0" w:line="378" w:lineRule="exact"/>
        <w:ind w:firstLineChars="200"/>
        <w:jc w:val="left"/>
      </w:pPr>
      <w:r>
        <w:rPr>
          <w:rFonts w:ascii="宋体" w:hAnsi="宋体" w:eastAsia="宋体" w:cs="宋体"/>
          <w:color w:val="000000"/>
          <w:sz w:val="21"/>
        </w:rPr>
        <w:t>6.1 从采购文件发出至谈判响应截止日期，采购机构可能会以补充通知的方式修改采购文件。补充通知作为采购文件的组成部分，以书面形式同时发给采购文件的收受人。</w:t>
      </w:r>
    </w:p>
    <w:p w14:paraId="72CDB8AE">
      <w:pPr>
        <w:wordWrap w:val="0"/>
        <w:spacing w:before="0" w:after="0" w:line="378" w:lineRule="exact"/>
        <w:ind w:firstLineChars="200"/>
        <w:jc w:val="left"/>
      </w:pPr>
      <w:r>
        <w:rPr>
          <w:rFonts w:ascii="宋体" w:hAnsi="宋体" w:eastAsia="宋体" w:cs="宋体"/>
          <w:color w:val="000000"/>
          <w:sz w:val="21"/>
        </w:rPr>
        <w:t>6.2 若有必要，采购机构将酌情延长递交响应文件的截止日期。</w:t>
      </w:r>
    </w:p>
    <w:p w14:paraId="1D666221">
      <w:pPr>
        <w:wordWrap w:val="0"/>
        <w:spacing w:before="207" w:after="207"/>
        <w:ind w:firstLineChars="100"/>
        <w:jc w:val="center"/>
        <w:outlineLvl w:val="1"/>
      </w:pPr>
      <w:r>
        <w:rPr>
          <w:rFonts w:ascii="宋体" w:hAnsi="宋体" w:eastAsia="宋体" w:cs="宋体"/>
          <w:b/>
          <w:color w:val="000000"/>
          <w:sz w:val="32"/>
        </w:rPr>
        <w:t>三、响应文件的编制</w:t>
      </w:r>
    </w:p>
    <w:p w14:paraId="511433EC">
      <w:pPr>
        <w:wordWrap w:val="0"/>
        <w:spacing w:after="0" w:line="503" w:lineRule="exact"/>
        <w:ind w:firstLineChars="150"/>
        <w:jc w:val="left"/>
        <w:outlineLvl w:val="2"/>
      </w:pPr>
      <w:r>
        <w:rPr>
          <w:rFonts w:ascii="黑体" w:hAnsi="黑体" w:eastAsia="黑体" w:cs="黑体"/>
          <w:color w:val="000000"/>
          <w:sz w:val="28"/>
        </w:rPr>
        <w:t>7、响应文件的语言</w:t>
      </w:r>
    </w:p>
    <w:p w14:paraId="2DB98917">
      <w:pPr>
        <w:wordWrap w:val="0"/>
        <w:spacing w:after="0" w:line="378" w:lineRule="exact"/>
        <w:ind w:firstLineChars="200"/>
        <w:jc w:val="left"/>
      </w:pPr>
      <w:r>
        <w:rPr>
          <w:rFonts w:ascii="宋体" w:hAnsi="宋体" w:eastAsia="宋体" w:cs="宋体"/>
          <w:color w:val="000000"/>
          <w:sz w:val="21"/>
        </w:rPr>
        <w:t>7.1 响应文件及谈判供应商与采购有关的来往通知、函件和文件均应使用中文。</w:t>
      </w:r>
    </w:p>
    <w:p w14:paraId="7ED8D0DD">
      <w:pPr>
        <w:wordWrap w:val="0"/>
        <w:spacing w:after="0" w:line="503" w:lineRule="exact"/>
        <w:ind w:firstLineChars="150"/>
        <w:jc w:val="left"/>
        <w:outlineLvl w:val="2"/>
      </w:pPr>
      <w:r>
        <w:rPr>
          <w:rFonts w:ascii="黑体" w:hAnsi="黑体" w:eastAsia="黑体" w:cs="黑体"/>
          <w:color w:val="000000"/>
          <w:sz w:val="28"/>
        </w:rPr>
        <w:t>8、响应文件的构成</w:t>
      </w:r>
    </w:p>
    <w:p w14:paraId="51BA01D7">
      <w:pPr>
        <w:wordWrap w:val="0"/>
        <w:spacing w:after="0" w:line="378" w:lineRule="exact"/>
        <w:ind w:firstLineChars="200"/>
        <w:jc w:val="left"/>
      </w:pPr>
      <w:r>
        <w:rPr>
          <w:rFonts w:ascii="宋体" w:hAnsi="宋体" w:eastAsia="宋体" w:cs="宋体"/>
          <w:color w:val="000000"/>
          <w:sz w:val="21"/>
        </w:rPr>
        <w:t>供应商应按采购文件规定的内容和格式编制并提交响应文件，响应文件应包括下列文件：</w:t>
      </w:r>
    </w:p>
    <w:p w14:paraId="7D876686">
      <w:pPr>
        <w:wordWrap w:val="0"/>
        <w:spacing w:after="0" w:line="378" w:lineRule="exact"/>
        <w:ind w:firstLineChars="200"/>
        <w:jc w:val="left"/>
      </w:pPr>
      <w:r>
        <w:rPr>
          <w:rFonts w:ascii="宋体" w:hAnsi="宋体" w:eastAsia="宋体" w:cs="宋体"/>
          <w:color w:val="000000"/>
          <w:sz w:val="21"/>
        </w:rPr>
        <w:t>8.1 单一来源申请及声明（格式见附件）</w:t>
      </w:r>
    </w:p>
    <w:p w14:paraId="3480638D">
      <w:pPr>
        <w:wordWrap w:val="0"/>
        <w:spacing w:before="0" w:after="0" w:line="378" w:lineRule="exact"/>
        <w:ind w:firstLineChars="200"/>
        <w:jc w:val="left"/>
      </w:pPr>
      <w:r>
        <w:rPr>
          <w:rFonts w:ascii="宋体" w:hAnsi="宋体" w:eastAsia="宋体" w:cs="宋体"/>
          <w:color w:val="000000"/>
          <w:sz w:val="21"/>
        </w:rPr>
        <w:t>8.2 法人代表授权书（如有授权）（格式见附件）</w:t>
      </w:r>
    </w:p>
    <w:p w14:paraId="603F2C0C">
      <w:pPr>
        <w:wordWrap w:val="0"/>
        <w:spacing w:before="0" w:after="0" w:line="378" w:lineRule="exact"/>
        <w:ind w:firstLineChars="200"/>
        <w:jc w:val="left"/>
      </w:pPr>
      <w:r>
        <w:rPr>
          <w:rFonts w:ascii="宋体" w:hAnsi="宋体" w:eastAsia="宋体" w:cs="宋体"/>
          <w:color w:val="000000"/>
          <w:sz w:val="21"/>
        </w:rPr>
        <w:t>8.3 投标代表身份证复印件及社保证明材料；</w:t>
      </w:r>
    </w:p>
    <w:p w14:paraId="18714085">
      <w:pPr>
        <w:wordWrap w:val="0"/>
        <w:spacing w:before="0" w:after="0" w:line="378" w:lineRule="exact"/>
        <w:ind w:firstLineChars="200"/>
        <w:jc w:val="left"/>
      </w:pPr>
      <w:r>
        <w:rPr>
          <w:rFonts w:ascii="宋体" w:hAnsi="宋体" w:eastAsia="宋体" w:cs="宋体"/>
          <w:color w:val="000000"/>
          <w:sz w:val="21"/>
        </w:rPr>
        <w:t>8.4 报价表（格式见附件）；</w:t>
      </w:r>
    </w:p>
    <w:p w14:paraId="1AA606FC">
      <w:pPr>
        <w:wordWrap w:val="0"/>
        <w:spacing w:before="0" w:after="0" w:line="378" w:lineRule="exact"/>
        <w:ind w:firstLineChars="200"/>
        <w:jc w:val="left"/>
      </w:pPr>
      <w:r>
        <w:rPr>
          <w:rFonts w:ascii="宋体" w:hAnsi="宋体" w:eastAsia="宋体" w:cs="宋体"/>
          <w:color w:val="000000"/>
          <w:sz w:val="21"/>
        </w:rPr>
        <w:t>8.5 供应商资格条件证明文件（见附件：资格证明材料）；</w:t>
      </w:r>
    </w:p>
    <w:p w14:paraId="57E15909">
      <w:pPr>
        <w:wordWrap w:val="0"/>
        <w:spacing w:before="0" w:after="0" w:line="378" w:lineRule="exact"/>
        <w:ind w:firstLineChars="200"/>
        <w:jc w:val="left"/>
      </w:pPr>
      <w:r>
        <w:rPr>
          <w:rFonts w:ascii="宋体" w:hAnsi="宋体" w:eastAsia="宋体" w:cs="宋体"/>
          <w:color w:val="000000"/>
          <w:sz w:val="21"/>
        </w:rPr>
        <w:t>8.6 供应商认为需要提供的其他技术文件或资料等。</w:t>
      </w:r>
    </w:p>
    <w:p w14:paraId="3E993577">
      <w:pPr>
        <w:wordWrap w:val="0"/>
        <w:spacing w:before="0" w:after="0" w:line="378" w:lineRule="exact"/>
        <w:ind w:firstLineChars="200"/>
        <w:jc w:val="left"/>
      </w:pPr>
      <w:r>
        <w:rPr>
          <w:rFonts w:ascii="宋体" w:hAnsi="宋体" w:eastAsia="宋体" w:cs="宋体"/>
          <w:color w:val="000000"/>
          <w:sz w:val="21"/>
        </w:rPr>
        <w:t>8.7 供应商服务方案及服务承诺。</w:t>
      </w:r>
    </w:p>
    <w:p w14:paraId="5821D7BC">
      <w:pPr>
        <w:wordWrap w:val="0"/>
        <w:spacing w:after="0" w:line="378" w:lineRule="exact"/>
        <w:ind w:firstLineChars="200"/>
        <w:jc w:val="left"/>
      </w:pPr>
      <w:r>
        <w:rPr>
          <w:rFonts w:ascii="宋体" w:hAnsi="宋体" w:eastAsia="宋体" w:cs="宋体"/>
          <w:color w:val="000000"/>
          <w:sz w:val="21"/>
        </w:rPr>
        <w:t>谈判供应商的响应文件必须按照采购文件要求制作。</w:t>
      </w:r>
    </w:p>
    <w:p w14:paraId="11E2FCD6">
      <w:pPr>
        <w:wordWrap w:val="0"/>
        <w:spacing w:after="0" w:line="503" w:lineRule="exact"/>
        <w:ind w:firstLineChars="150"/>
        <w:jc w:val="left"/>
        <w:outlineLvl w:val="2"/>
      </w:pPr>
      <w:r>
        <w:rPr>
          <w:rFonts w:ascii="黑体" w:hAnsi="黑体" w:eastAsia="黑体" w:cs="黑体"/>
          <w:color w:val="000000"/>
          <w:sz w:val="28"/>
        </w:rPr>
        <w:t>9、响应文件的有效期</w:t>
      </w:r>
    </w:p>
    <w:p w14:paraId="2D1CBC6C">
      <w:pPr>
        <w:wordWrap w:val="0"/>
        <w:spacing w:after="0" w:line="378" w:lineRule="exact"/>
        <w:ind w:firstLineChars="200"/>
        <w:jc w:val="left"/>
      </w:pPr>
      <w:r>
        <w:rPr>
          <w:rFonts w:ascii="宋体" w:hAnsi="宋体" w:eastAsia="宋体" w:cs="宋体"/>
          <w:color w:val="000000"/>
          <w:sz w:val="21"/>
        </w:rPr>
        <w:t>9.1 响应文件合格投递后，自谈判响应截止日期起，至前附表所列的日期内有效。</w:t>
      </w:r>
    </w:p>
    <w:p w14:paraId="4D89A225">
      <w:pPr>
        <w:wordWrap w:val="0"/>
        <w:spacing w:before="0" w:after="0" w:line="378" w:lineRule="exact"/>
        <w:ind w:firstLineChars="200"/>
        <w:jc w:val="left"/>
      </w:pPr>
      <w:r>
        <w:rPr>
          <w:rFonts w:ascii="宋体" w:hAnsi="宋体" w:eastAsia="宋体" w:cs="宋体"/>
          <w:color w:val="000000"/>
          <w:sz w:val="21"/>
        </w:rPr>
        <w:t>9.2 在原定谈判响应有效期之前，如果出现特殊情况，采购机构可以以书面形式通知谈判供应商延长谈判响应有效期。</w:t>
      </w:r>
    </w:p>
    <w:p w14:paraId="211468C3">
      <w:pPr>
        <w:wordWrap w:val="0"/>
        <w:spacing w:after="0" w:line="503" w:lineRule="exact"/>
        <w:ind w:firstLineChars="150"/>
        <w:jc w:val="left"/>
        <w:outlineLvl w:val="2"/>
      </w:pPr>
      <w:r>
        <w:rPr>
          <w:rFonts w:ascii="黑体" w:hAnsi="黑体" w:eastAsia="黑体" w:cs="黑体"/>
          <w:color w:val="000000"/>
          <w:sz w:val="28"/>
        </w:rPr>
        <w:t>10、谈判响应保证金</w:t>
      </w:r>
    </w:p>
    <w:p w14:paraId="6CD8F367">
      <w:pPr>
        <w:wordWrap w:val="0"/>
        <w:spacing w:after="0" w:line="378" w:lineRule="exact"/>
        <w:ind w:firstLineChars="200"/>
        <w:jc w:val="left"/>
      </w:pPr>
      <w:r>
        <w:rPr>
          <w:rFonts w:ascii="宋体" w:hAnsi="宋体" w:eastAsia="宋体" w:cs="宋体"/>
          <w:color w:val="000000"/>
          <w:sz w:val="21"/>
        </w:rPr>
        <w:t>无</w:t>
      </w:r>
    </w:p>
    <w:p w14:paraId="1C7BC23B">
      <w:pPr>
        <w:wordWrap w:val="0"/>
        <w:spacing w:after="0" w:line="503" w:lineRule="exact"/>
        <w:ind w:firstLineChars="150"/>
        <w:jc w:val="left"/>
        <w:outlineLvl w:val="2"/>
      </w:pPr>
      <w:r>
        <w:rPr>
          <w:rFonts w:ascii="黑体" w:hAnsi="黑体" w:eastAsia="黑体" w:cs="黑体"/>
          <w:color w:val="000000"/>
          <w:sz w:val="28"/>
        </w:rPr>
        <w:t>11、响应文件的编制和签署</w:t>
      </w:r>
    </w:p>
    <w:p w14:paraId="5ABCE234">
      <w:pPr>
        <w:wordWrap w:val="0"/>
        <w:spacing w:after="0" w:line="378" w:lineRule="exact"/>
        <w:ind w:firstLineChars="200"/>
        <w:jc w:val="left"/>
      </w:pPr>
      <w:r>
        <w:rPr>
          <w:rFonts w:ascii="宋体" w:hAnsi="宋体" w:eastAsia="宋体" w:cs="宋体"/>
          <w:color w:val="000000"/>
          <w:sz w:val="21"/>
        </w:rPr>
        <w:t>11.1 谈判供应商按本须知第7条规定的语言和前附表规定的份数编制响应文件，并在封面上标明“正本”和“副本”。响应文件正本和副本如有不一致之处，以正本为准。</w:t>
      </w:r>
    </w:p>
    <w:p w14:paraId="7A7182E5">
      <w:pPr>
        <w:wordWrap w:val="0"/>
        <w:spacing w:before="0" w:after="0" w:line="378" w:lineRule="exact"/>
        <w:ind w:firstLineChars="200"/>
        <w:jc w:val="left"/>
      </w:pPr>
      <w:r>
        <w:rPr>
          <w:rFonts w:ascii="宋体" w:hAnsi="宋体" w:eastAsia="宋体" w:cs="宋体"/>
          <w:color w:val="000000"/>
          <w:sz w:val="21"/>
        </w:rPr>
        <w:t>11.2 响应文件正本和副本均应使用不能擦去的墨水打印或书写，谈判初次报价一览表及反映企业资质和经营情况的资料必须加盖法人单位公章，并由法定代表人或授权委托人签字盖章。</w:t>
      </w:r>
    </w:p>
    <w:p w14:paraId="1D84E331">
      <w:pPr>
        <w:wordWrap w:val="0"/>
        <w:spacing w:before="0" w:after="0" w:line="378" w:lineRule="exact"/>
        <w:ind w:firstLineChars="200"/>
        <w:jc w:val="left"/>
      </w:pPr>
      <w:r>
        <w:rPr>
          <w:rFonts w:ascii="宋体" w:hAnsi="宋体" w:eastAsia="宋体" w:cs="宋体"/>
          <w:color w:val="000000"/>
          <w:sz w:val="21"/>
        </w:rPr>
        <w:t>11.3 全套响应文件应无涂改和行间插字，除非这些删改是根据采购机构要求进行，或者是谈判供应商造成的必须修改的错误。所修改处应由法定代表人或授权委托人签字盖章予以确认。</w:t>
      </w:r>
    </w:p>
    <w:p w14:paraId="14A636EB">
      <w:pPr>
        <w:wordWrap w:val="0"/>
        <w:spacing w:before="0" w:after="0" w:line="378" w:lineRule="exact"/>
        <w:ind w:firstLineChars="200"/>
        <w:jc w:val="left"/>
      </w:pPr>
      <w:r>
        <w:rPr>
          <w:rFonts w:ascii="宋体" w:hAnsi="宋体" w:eastAsia="宋体" w:cs="宋体"/>
          <w:color w:val="000000"/>
          <w:sz w:val="21"/>
        </w:rPr>
        <w:t>11.4 响应文件采用A4幅面，必须按顺序统一编目编码装订成册。提倡双面打印。</w:t>
      </w:r>
    </w:p>
    <w:p w14:paraId="6789AB82">
      <w:pPr>
        <w:wordWrap w:val="0"/>
        <w:spacing w:before="207" w:after="207"/>
        <w:ind w:firstLineChars="100"/>
        <w:jc w:val="center"/>
        <w:outlineLvl w:val="1"/>
      </w:pPr>
      <w:r>
        <w:rPr>
          <w:rFonts w:ascii="宋体" w:hAnsi="宋体" w:eastAsia="宋体" w:cs="宋体"/>
          <w:b/>
          <w:color w:val="000000"/>
          <w:sz w:val="32"/>
        </w:rPr>
        <w:t>四、响应文件的递交</w:t>
      </w:r>
    </w:p>
    <w:p w14:paraId="38C502A4">
      <w:pPr>
        <w:wordWrap w:val="0"/>
        <w:spacing w:after="0" w:line="503" w:lineRule="exact"/>
        <w:ind w:firstLineChars="150"/>
        <w:jc w:val="left"/>
        <w:outlineLvl w:val="2"/>
      </w:pPr>
      <w:r>
        <w:rPr>
          <w:rFonts w:ascii="黑体" w:hAnsi="黑体" w:eastAsia="黑体" w:cs="黑体"/>
          <w:color w:val="000000"/>
          <w:sz w:val="28"/>
        </w:rPr>
        <w:t>12、响应文件的密封、包装与标记</w:t>
      </w:r>
    </w:p>
    <w:p w14:paraId="10138B92">
      <w:pPr>
        <w:wordWrap w:val="0"/>
        <w:spacing w:after="0" w:line="378" w:lineRule="exact"/>
        <w:ind w:firstLineChars="200"/>
        <w:jc w:val="left"/>
      </w:pPr>
      <w:r>
        <w:rPr>
          <w:rFonts w:ascii="宋体" w:hAnsi="宋体" w:eastAsia="宋体" w:cs="宋体"/>
          <w:color w:val="000000"/>
          <w:sz w:val="21"/>
        </w:rPr>
        <w:t>12.1 响应文件分正本和副本，其中报价文件、技术文件、商务文件胶装成册并密封包装。没有密封包装的应标文件，将被当场拒绝。</w:t>
      </w:r>
    </w:p>
    <w:p w14:paraId="306388A9">
      <w:pPr>
        <w:wordWrap w:val="0"/>
        <w:spacing w:before="0" w:after="0" w:line="378" w:lineRule="exact"/>
        <w:ind w:firstLineChars="200"/>
        <w:jc w:val="left"/>
      </w:pPr>
      <w:r>
        <w:rPr>
          <w:rFonts w:ascii="宋体" w:hAnsi="宋体" w:eastAsia="宋体" w:cs="宋体"/>
          <w:color w:val="000000"/>
          <w:sz w:val="21"/>
        </w:rPr>
        <w:t>12.2 包装封面物的正面应写明项目名称、谈判供应商全称与地址、邮政编码，封口处要密封并加盖谈判供应商公章（或授权委托人签章）。不论谈判供应商成交与否，响应文件均不退回。</w:t>
      </w:r>
    </w:p>
    <w:p w14:paraId="4D2E4F44">
      <w:pPr>
        <w:wordWrap w:val="0"/>
        <w:spacing w:before="0" w:after="0" w:line="378" w:lineRule="exact"/>
        <w:ind w:firstLineChars="200"/>
        <w:jc w:val="left"/>
      </w:pPr>
      <w:r>
        <w:rPr>
          <w:rFonts w:ascii="宋体" w:hAnsi="宋体" w:eastAsia="宋体" w:cs="宋体"/>
          <w:color w:val="000000"/>
          <w:sz w:val="21"/>
        </w:rPr>
        <w:t>12.3 响应文件递交至前附表所述的单位和地址。</w:t>
      </w:r>
    </w:p>
    <w:p w14:paraId="50302C9E">
      <w:pPr>
        <w:wordWrap w:val="0"/>
        <w:spacing w:after="0" w:line="503" w:lineRule="exact"/>
        <w:ind w:firstLineChars="150"/>
        <w:jc w:val="left"/>
        <w:outlineLvl w:val="2"/>
      </w:pPr>
      <w:r>
        <w:rPr>
          <w:rFonts w:ascii="黑体" w:hAnsi="黑体" w:eastAsia="黑体" w:cs="黑体"/>
          <w:color w:val="000000"/>
          <w:sz w:val="28"/>
        </w:rPr>
        <w:t>13、谈判响应截止期</w:t>
      </w:r>
    </w:p>
    <w:p w14:paraId="6C2FCB01">
      <w:pPr>
        <w:wordWrap w:val="0"/>
        <w:spacing w:after="0" w:line="378" w:lineRule="exact"/>
        <w:ind w:firstLineChars="200"/>
        <w:jc w:val="left"/>
      </w:pPr>
      <w:r>
        <w:rPr>
          <w:rFonts w:ascii="宋体" w:hAnsi="宋体" w:eastAsia="宋体" w:cs="宋体"/>
          <w:color w:val="000000"/>
          <w:sz w:val="21"/>
        </w:rPr>
        <w:t>13.1 谈判供应商应按前附表规定的时间、地点将响应文件递交给采购中心，采购中心将拒绝接受逾期送达的响应文件。</w:t>
      </w:r>
    </w:p>
    <w:p w14:paraId="63516475">
      <w:pPr>
        <w:wordWrap w:val="0"/>
        <w:spacing w:before="0" w:after="0" w:line="378" w:lineRule="exact"/>
        <w:ind w:firstLineChars="200"/>
        <w:jc w:val="left"/>
      </w:pPr>
      <w:r>
        <w:rPr>
          <w:rFonts w:ascii="宋体" w:hAnsi="宋体" w:eastAsia="宋体" w:cs="宋体"/>
          <w:color w:val="000000"/>
          <w:sz w:val="21"/>
        </w:rPr>
        <w:t>13.2 采购机构可以按本须知第条规定以补充通知的方式，酌情延长递交响应文件的截止日期。在上述情况下，采购机构与谈判供应商以前在谈判响应截止期方面的全部权利、责任和义务，将适用于延长至新的谈判响应截止期。</w:t>
      </w:r>
    </w:p>
    <w:p w14:paraId="4C030045">
      <w:pPr>
        <w:wordWrap w:val="0"/>
        <w:spacing w:after="0" w:line="503" w:lineRule="exact"/>
        <w:ind w:firstLineChars="150"/>
        <w:jc w:val="left"/>
        <w:outlineLvl w:val="2"/>
      </w:pPr>
      <w:r>
        <w:rPr>
          <w:rFonts w:ascii="黑体" w:hAnsi="黑体" w:eastAsia="黑体" w:cs="黑体"/>
          <w:color w:val="000000"/>
          <w:sz w:val="28"/>
        </w:rPr>
        <w:t>14、响应文件的修改</w:t>
      </w:r>
    </w:p>
    <w:p w14:paraId="7D08A84C">
      <w:pPr>
        <w:wordWrap w:val="0"/>
        <w:spacing w:after="0" w:line="378" w:lineRule="exact"/>
        <w:ind w:firstLineChars="200"/>
        <w:jc w:val="left"/>
      </w:pPr>
      <w:r>
        <w:rPr>
          <w:rFonts w:ascii="宋体" w:hAnsi="宋体" w:eastAsia="宋体" w:cs="宋体"/>
          <w:color w:val="000000"/>
          <w:sz w:val="21"/>
        </w:rPr>
        <w:t>14.1 谈判供应商递交响应文件以后，在规定的谈判响应截止时间之前，可以书面形式对响应文件进行补充、修改，修改文件须加盖单位公章，并由法定代表人或授权委托人签字盖章。</w:t>
      </w:r>
    </w:p>
    <w:p w14:paraId="77B824D7">
      <w:pPr>
        <w:wordWrap w:val="0"/>
        <w:spacing w:before="0" w:after="0" w:line="378" w:lineRule="exact"/>
        <w:ind w:firstLineChars="200"/>
        <w:jc w:val="left"/>
      </w:pPr>
      <w:r>
        <w:rPr>
          <w:rFonts w:ascii="宋体" w:hAnsi="宋体" w:eastAsia="宋体" w:cs="宋体"/>
          <w:color w:val="000000"/>
          <w:sz w:val="21"/>
        </w:rPr>
        <w:t>14.2 谈判供应商的修改文件，应按本须知规定编制、密封、标志和递交，如果一份响应文件有几份函件时，应注明哪一份有效，否则所作修改视为无效。</w:t>
      </w:r>
    </w:p>
    <w:p w14:paraId="3E5906E5">
      <w:pPr>
        <w:wordWrap w:val="0"/>
        <w:spacing w:before="0" w:after="0" w:line="378" w:lineRule="exact"/>
        <w:ind w:firstLineChars="200"/>
        <w:jc w:val="left"/>
      </w:pPr>
      <w:r>
        <w:rPr>
          <w:rFonts w:ascii="宋体" w:hAnsi="宋体" w:eastAsia="宋体" w:cs="宋体"/>
          <w:color w:val="000000"/>
          <w:sz w:val="21"/>
        </w:rPr>
        <w:t>14.3 谈判供应商对响应文件的修改均要加以说明，否则其修改将被视为无效。</w:t>
      </w:r>
    </w:p>
    <w:p w14:paraId="51B53B10">
      <w:pPr>
        <w:wordWrap w:val="0"/>
        <w:spacing w:before="0" w:after="0" w:line="378" w:lineRule="exact"/>
        <w:ind w:firstLineChars="200"/>
        <w:jc w:val="left"/>
      </w:pPr>
      <w:r>
        <w:rPr>
          <w:rFonts w:ascii="宋体" w:hAnsi="宋体" w:eastAsia="宋体" w:cs="宋体"/>
          <w:color w:val="000000"/>
          <w:sz w:val="21"/>
        </w:rPr>
        <w:t>14.4 在谈判响应截止日期与采购文件中规定的有效期终止日之间的这段时间内，谈判供应商不能撤回响应文件，否则其谈判响应保证金将不予退还。</w:t>
      </w:r>
    </w:p>
    <w:p w14:paraId="1D8ADBC3">
      <w:pPr>
        <w:wordWrap w:val="0"/>
        <w:spacing w:before="207" w:after="207"/>
        <w:ind w:firstLineChars="100"/>
        <w:jc w:val="center"/>
        <w:outlineLvl w:val="1"/>
      </w:pPr>
      <w:r>
        <w:rPr>
          <w:rFonts w:ascii="宋体" w:hAnsi="宋体" w:eastAsia="宋体" w:cs="宋体"/>
          <w:b/>
          <w:color w:val="000000"/>
          <w:sz w:val="32"/>
        </w:rPr>
        <w:t>五、响应文件开启</w:t>
      </w:r>
    </w:p>
    <w:p w14:paraId="51523EAE">
      <w:pPr>
        <w:wordWrap w:val="0"/>
        <w:spacing w:after="0" w:line="503" w:lineRule="exact"/>
        <w:ind w:firstLineChars="150"/>
        <w:jc w:val="left"/>
        <w:outlineLvl w:val="2"/>
      </w:pPr>
      <w:r>
        <w:rPr>
          <w:rFonts w:ascii="黑体" w:hAnsi="黑体" w:eastAsia="黑体" w:cs="黑体"/>
          <w:color w:val="000000"/>
          <w:sz w:val="28"/>
        </w:rPr>
        <w:t>15、开启</w:t>
      </w:r>
    </w:p>
    <w:p w14:paraId="302E5019">
      <w:pPr>
        <w:wordWrap w:val="0"/>
        <w:spacing w:after="0" w:line="378" w:lineRule="exact"/>
        <w:ind w:firstLineChars="200"/>
        <w:jc w:val="left"/>
      </w:pPr>
      <w:r>
        <w:rPr>
          <w:rFonts w:ascii="宋体" w:hAnsi="宋体" w:eastAsia="宋体" w:cs="宋体"/>
          <w:color w:val="000000"/>
          <w:sz w:val="21"/>
        </w:rPr>
        <w:t>15.1 谈判开始时，采购人将组织查验响应文件的密封情况，确认无误后拆封响应文件。</w:t>
      </w:r>
    </w:p>
    <w:p w14:paraId="53FE6300">
      <w:pPr>
        <w:wordWrap w:val="0"/>
        <w:spacing w:before="0" w:after="0" w:line="378" w:lineRule="exact"/>
        <w:ind w:firstLineChars="200"/>
        <w:jc w:val="left"/>
      </w:pPr>
      <w:r>
        <w:rPr>
          <w:rFonts w:ascii="宋体" w:hAnsi="宋体" w:eastAsia="宋体" w:cs="宋体"/>
          <w:color w:val="000000"/>
          <w:sz w:val="21"/>
        </w:rPr>
        <w:t>注：本项目在响应文件开启后直接递交谈判小组审议，不进行公开宣读。</w:t>
      </w:r>
    </w:p>
    <w:p w14:paraId="6B8F685C">
      <w:pPr>
        <w:wordWrap w:val="0"/>
        <w:spacing w:after="0" w:line="503" w:lineRule="exact"/>
        <w:ind w:firstLineChars="150"/>
        <w:jc w:val="left"/>
        <w:outlineLvl w:val="2"/>
      </w:pPr>
      <w:r>
        <w:rPr>
          <w:rFonts w:ascii="黑体" w:hAnsi="黑体" w:eastAsia="黑体" w:cs="黑体"/>
          <w:color w:val="000000"/>
          <w:sz w:val="28"/>
        </w:rPr>
        <w:t>16、响应文件鉴定</w:t>
      </w:r>
    </w:p>
    <w:p w14:paraId="4ECED75D">
      <w:pPr>
        <w:wordWrap w:val="0"/>
        <w:spacing w:after="0" w:line="378" w:lineRule="exact"/>
        <w:ind w:firstLineChars="200"/>
        <w:jc w:val="left"/>
      </w:pPr>
      <w:r>
        <w:rPr>
          <w:rFonts w:ascii="宋体" w:hAnsi="宋体" w:eastAsia="宋体" w:cs="宋体"/>
          <w:color w:val="000000"/>
          <w:sz w:val="21"/>
        </w:rPr>
        <w:t>16.1 开启时，采购机构将对响应文件进行初步审查，检查响应文件内容是否完整、编排是否有序、文件签署是否规范以及谈判供应商资格是否符合要求等,并将相关情况报告谈判委员会。</w:t>
      </w:r>
    </w:p>
    <w:p w14:paraId="38FB3B68">
      <w:pPr>
        <w:wordWrap w:val="0"/>
        <w:spacing w:before="0" w:after="0" w:line="378" w:lineRule="exact"/>
        <w:ind w:firstLineChars="200"/>
        <w:jc w:val="left"/>
      </w:pPr>
      <w:r>
        <w:rPr>
          <w:rFonts w:ascii="宋体" w:hAnsi="宋体" w:eastAsia="宋体" w:cs="宋体"/>
          <w:color w:val="000000"/>
          <w:sz w:val="21"/>
        </w:rPr>
        <w:t>16.2 在谈判前，采购机构可组织审标小组对响应文件是否实质上响应了采购文件的要求并对谈判供应商的资格进行审核。实质上响应是指响应文件与采购文件要求的全部条款、谈判供应商资格和条件相符，无显著差异或保留。谈判小组只根据响应文件本身的内容来判定响应文件的响应性，而不寻求外部的证据。</w:t>
      </w:r>
    </w:p>
    <w:p w14:paraId="4811527F">
      <w:pPr>
        <w:wordWrap w:val="0"/>
        <w:spacing w:before="0" w:after="0" w:line="378" w:lineRule="exact"/>
        <w:ind w:firstLineChars="200"/>
        <w:jc w:val="left"/>
      </w:pPr>
      <w:r>
        <w:rPr>
          <w:rFonts w:ascii="宋体" w:hAnsi="宋体" w:eastAsia="宋体" w:cs="宋体"/>
          <w:color w:val="000000"/>
          <w:sz w:val="21"/>
        </w:rPr>
        <w:t>16.3 对于响应文件中不构成实质性偏差的、细微的不正规、不一致或不规范，采购机构及谈判小组可以接受。</w:t>
      </w:r>
    </w:p>
    <w:p w14:paraId="15C70262">
      <w:pPr>
        <w:wordWrap w:val="0"/>
        <w:spacing w:before="0" w:after="0" w:line="378" w:lineRule="exact"/>
        <w:ind w:firstLineChars="200"/>
        <w:jc w:val="left"/>
      </w:pPr>
      <w:r>
        <w:rPr>
          <w:rFonts w:ascii="宋体" w:hAnsi="宋体" w:eastAsia="宋体" w:cs="宋体"/>
          <w:color w:val="000000"/>
          <w:sz w:val="21"/>
        </w:rPr>
        <w:t>16.4 如果响应文件实质上不响应采购文件的要求，采购机构及谈判小组将予以拒绝，并且不允许通过修正或撤消不符合要求的差异或保留，使之成为具有响应性的谈判响应。</w:t>
      </w:r>
    </w:p>
    <w:p w14:paraId="025E6C32">
      <w:pPr>
        <w:wordWrap w:val="0"/>
        <w:spacing w:before="0" w:after="0" w:line="378" w:lineRule="exact"/>
        <w:ind w:firstLineChars="200"/>
        <w:jc w:val="left"/>
      </w:pPr>
      <w:r>
        <w:rPr>
          <w:rFonts w:ascii="宋体" w:hAnsi="宋体" w:eastAsia="宋体" w:cs="宋体"/>
          <w:color w:val="000000"/>
          <w:sz w:val="21"/>
        </w:rPr>
        <w:t>16.5 经开启后递交至谈判小组的响应文件，仍需接受相关符合性的检查，并有可能在评审过程中被判断为无效。</w:t>
      </w:r>
    </w:p>
    <w:p w14:paraId="1C83C3EF">
      <w:pPr>
        <w:wordWrap w:val="0"/>
        <w:spacing w:before="207" w:after="207"/>
        <w:ind w:firstLineChars="100"/>
        <w:jc w:val="center"/>
        <w:outlineLvl w:val="1"/>
      </w:pPr>
      <w:r>
        <w:rPr>
          <w:rFonts w:ascii="宋体" w:hAnsi="宋体" w:eastAsia="宋体" w:cs="宋体"/>
          <w:b/>
          <w:color w:val="000000"/>
          <w:sz w:val="32"/>
        </w:rPr>
        <w:t>六、谈判</w:t>
      </w:r>
    </w:p>
    <w:p w14:paraId="416CA988">
      <w:pPr>
        <w:wordWrap w:val="0"/>
        <w:spacing w:after="0" w:line="503" w:lineRule="exact"/>
        <w:ind w:firstLineChars="150"/>
        <w:jc w:val="left"/>
        <w:outlineLvl w:val="2"/>
      </w:pPr>
      <w:r>
        <w:rPr>
          <w:rFonts w:ascii="黑体" w:hAnsi="黑体" w:eastAsia="黑体" w:cs="黑体"/>
          <w:color w:val="000000"/>
          <w:sz w:val="28"/>
        </w:rPr>
        <w:t>17、谈判组织</w:t>
      </w:r>
    </w:p>
    <w:p w14:paraId="1FAA5A2B">
      <w:pPr>
        <w:wordWrap w:val="0"/>
        <w:spacing w:after="0" w:line="378" w:lineRule="exact"/>
        <w:ind w:firstLineChars="200"/>
        <w:jc w:val="left"/>
      </w:pPr>
      <w:r>
        <w:rPr>
          <w:rFonts w:ascii="宋体" w:hAnsi="宋体" w:eastAsia="宋体" w:cs="宋体"/>
          <w:color w:val="000000"/>
          <w:sz w:val="21"/>
        </w:rPr>
        <w:t>17.1 采购中心依法组建由3人（含）及以上奇数的人员组成的谈判小组，负责对响应文件进行审查、质询、评审和比较等。</w:t>
      </w:r>
    </w:p>
    <w:p w14:paraId="0BAEDC83">
      <w:pPr>
        <w:wordWrap w:val="0"/>
        <w:spacing w:after="0" w:line="503" w:lineRule="exact"/>
        <w:ind w:firstLineChars="150"/>
        <w:jc w:val="left"/>
        <w:outlineLvl w:val="2"/>
      </w:pPr>
      <w:r>
        <w:rPr>
          <w:rFonts w:ascii="黑体" w:hAnsi="黑体" w:eastAsia="黑体" w:cs="黑体"/>
          <w:color w:val="000000"/>
          <w:sz w:val="28"/>
        </w:rPr>
        <w:t>18、谈判原则</w:t>
      </w:r>
    </w:p>
    <w:p w14:paraId="4392F69E">
      <w:pPr>
        <w:wordWrap w:val="0"/>
        <w:spacing w:after="0" w:line="378" w:lineRule="exact"/>
        <w:ind w:firstLineChars="200"/>
        <w:jc w:val="left"/>
      </w:pPr>
      <w:r>
        <w:rPr>
          <w:rFonts w:ascii="宋体" w:hAnsi="宋体" w:eastAsia="宋体" w:cs="宋体"/>
          <w:color w:val="000000"/>
          <w:sz w:val="21"/>
        </w:rPr>
        <w:t>18.1 坚持公开、公平、公正、科学合理的原则；</w:t>
      </w:r>
    </w:p>
    <w:p w14:paraId="00C3F98E">
      <w:pPr>
        <w:wordWrap w:val="0"/>
        <w:spacing w:before="0" w:after="0" w:line="378" w:lineRule="exact"/>
        <w:ind w:firstLineChars="200"/>
        <w:jc w:val="left"/>
      </w:pPr>
      <w:r>
        <w:rPr>
          <w:rFonts w:ascii="宋体" w:hAnsi="宋体" w:eastAsia="宋体" w:cs="宋体"/>
          <w:color w:val="000000"/>
          <w:sz w:val="21"/>
        </w:rPr>
        <w:t>18.2 价格合理，方案先进可行。</w:t>
      </w:r>
    </w:p>
    <w:p w14:paraId="499953B9">
      <w:pPr>
        <w:wordWrap w:val="0"/>
        <w:spacing w:after="0" w:line="503" w:lineRule="exact"/>
        <w:ind w:firstLineChars="150"/>
        <w:jc w:val="left"/>
        <w:outlineLvl w:val="2"/>
      </w:pPr>
      <w:r>
        <w:rPr>
          <w:rFonts w:ascii="黑体" w:hAnsi="黑体" w:eastAsia="黑体" w:cs="黑体"/>
          <w:color w:val="000000"/>
          <w:sz w:val="28"/>
        </w:rPr>
        <w:t>19、谈判程序</w:t>
      </w:r>
    </w:p>
    <w:p w14:paraId="1EC5C5E9">
      <w:pPr>
        <w:wordWrap w:val="0"/>
        <w:spacing w:after="0" w:line="378" w:lineRule="exact"/>
        <w:ind w:firstLineChars="200"/>
        <w:jc w:val="left"/>
      </w:pPr>
      <w:r>
        <w:rPr>
          <w:rFonts w:ascii="宋体" w:hAnsi="宋体" w:eastAsia="宋体" w:cs="宋体"/>
          <w:color w:val="000000"/>
          <w:sz w:val="21"/>
        </w:rPr>
        <w:t>19.1 响应文件资格性审查：谈判小组依据法律法规和采购文件的规定，对响应文件中的资格证明、谈判响应保证金等进行审查，以确定谈判供应商是否具备谈判响应资格。</w:t>
      </w:r>
    </w:p>
    <w:p w14:paraId="2A1F5E34">
      <w:pPr>
        <w:wordWrap w:val="0"/>
        <w:spacing w:before="0" w:after="0" w:line="378" w:lineRule="exact"/>
        <w:ind w:firstLineChars="200"/>
        <w:jc w:val="left"/>
      </w:pPr>
      <w:r>
        <w:rPr>
          <w:rFonts w:ascii="宋体" w:hAnsi="宋体" w:eastAsia="宋体" w:cs="宋体"/>
          <w:color w:val="000000"/>
          <w:sz w:val="21"/>
        </w:rPr>
        <w:t>19.2 响应文件符合性审查：谈判小组依据采购文件的规定，从响应文件的有效性、完整性和对采购文件的响应程度进行审查，以确定是否对采购文件的实质性要求作出响应。</w:t>
      </w:r>
    </w:p>
    <w:p w14:paraId="0397C2F4">
      <w:pPr>
        <w:wordWrap w:val="0"/>
        <w:spacing w:before="0" w:after="0" w:line="378" w:lineRule="exact"/>
        <w:ind w:firstLineChars="200"/>
        <w:jc w:val="left"/>
      </w:pPr>
      <w:r>
        <w:rPr>
          <w:rFonts w:ascii="宋体" w:hAnsi="宋体" w:eastAsia="宋体" w:cs="宋体"/>
          <w:color w:val="000000"/>
          <w:sz w:val="21"/>
        </w:rPr>
        <w:t>19.3 修正原则</w:t>
      </w:r>
    </w:p>
    <w:p w14:paraId="42C986B5">
      <w:pPr>
        <w:wordWrap w:val="0"/>
        <w:spacing w:before="0" w:after="0" w:line="378" w:lineRule="exact"/>
        <w:ind w:firstLineChars="200"/>
        <w:jc w:val="left"/>
      </w:pPr>
      <w:r>
        <w:rPr>
          <w:rFonts w:ascii="宋体" w:hAnsi="宋体" w:eastAsia="宋体" w:cs="宋体"/>
          <w:color w:val="000000"/>
          <w:sz w:val="21"/>
        </w:rPr>
        <w:t>谈判小组对响应文件的商务报价文件进行审核，对发现计算、书写等错误的，按以下原则进行修正：</w:t>
      </w:r>
    </w:p>
    <w:p w14:paraId="51DA8237">
      <w:pPr>
        <w:wordWrap w:val="0"/>
        <w:spacing w:before="0" w:after="0" w:line="378" w:lineRule="exact"/>
        <w:ind w:firstLineChars="200"/>
        <w:jc w:val="left"/>
      </w:pPr>
      <w:r>
        <w:rPr>
          <w:rFonts w:ascii="宋体" w:hAnsi="宋体" w:eastAsia="宋体" w:cs="宋体"/>
          <w:color w:val="000000"/>
          <w:sz w:val="21"/>
        </w:rPr>
        <w:t>19.3.1 大写金额与小写金额不一致的，以大写金额为准；</w:t>
      </w:r>
    </w:p>
    <w:p w14:paraId="2AD49A31">
      <w:pPr>
        <w:wordWrap w:val="0"/>
        <w:spacing w:before="0" w:after="0" w:line="378" w:lineRule="exact"/>
        <w:ind w:firstLineChars="200"/>
        <w:jc w:val="left"/>
      </w:pPr>
      <w:r>
        <w:rPr>
          <w:rFonts w:ascii="宋体" w:hAnsi="宋体" w:eastAsia="宋体" w:cs="宋体"/>
          <w:color w:val="000000"/>
          <w:sz w:val="21"/>
        </w:rPr>
        <w:t>19.3.2 总价金额与按单价汇总金额不一致的，以单价金额计算结果为准；</w:t>
      </w:r>
    </w:p>
    <w:p w14:paraId="420F9BEB">
      <w:pPr>
        <w:wordWrap w:val="0"/>
        <w:spacing w:before="0" w:after="0" w:line="378" w:lineRule="exact"/>
        <w:ind w:firstLineChars="200"/>
        <w:jc w:val="left"/>
      </w:pPr>
      <w:r>
        <w:rPr>
          <w:rFonts w:ascii="宋体" w:hAnsi="宋体" w:eastAsia="宋体" w:cs="宋体"/>
          <w:color w:val="000000"/>
          <w:sz w:val="21"/>
        </w:rPr>
        <w:t>19.3.3 单价金额小数点有明显错位的，应以总价为准，并修改单价；</w:t>
      </w:r>
    </w:p>
    <w:p w14:paraId="08A682DD">
      <w:pPr>
        <w:wordWrap w:val="0"/>
        <w:spacing w:before="0" w:after="0" w:line="378" w:lineRule="exact"/>
        <w:ind w:firstLineChars="200"/>
        <w:jc w:val="left"/>
      </w:pPr>
      <w:r>
        <w:rPr>
          <w:rFonts w:ascii="宋体" w:hAnsi="宋体" w:eastAsia="宋体" w:cs="宋体"/>
          <w:color w:val="000000"/>
          <w:sz w:val="21"/>
        </w:rPr>
        <w:t>19.3.4 以修正后的总价作为谈判响应报价。</w:t>
      </w:r>
    </w:p>
    <w:p w14:paraId="7C5B932A">
      <w:pPr>
        <w:wordWrap w:val="0"/>
        <w:spacing w:after="0" w:line="378" w:lineRule="exact"/>
        <w:ind w:firstLineChars="200"/>
        <w:jc w:val="left"/>
      </w:pPr>
      <w:r>
        <w:rPr>
          <w:rFonts w:ascii="宋体" w:hAnsi="宋体" w:eastAsia="宋体" w:cs="宋体"/>
          <w:color w:val="000000"/>
          <w:sz w:val="21"/>
        </w:rPr>
        <w:t>19.4 根据公开、公平、公正、诚信科学的原则，组织谈判采购。</w:t>
      </w:r>
    </w:p>
    <w:p w14:paraId="36F0A563">
      <w:pPr>
        <w:wordWrap w:val="0"/>
        <w:spacing w:before="0" w:after="0" w:line="378" w:lineRule="exact"/>
        <w:ind w:firstLineChars="200"/>
        <w:jc w:val="left"/>
      </w:pPr>
      <w:r>
        <w:rPr>
          <w:rFonts w:ascii="宋体" w:hAnsi="宋体" w:eastAsia="宋体" w:cs="宋体"/>
          <w:color w:val="000000"/>
          <w:sz w:val="21"/>
        </w:rPr>
        <w:t>19.5 具体工作流程：</w:t>
      </w:r>
    </w:p>
    <w:p w14:paraId="482F69CB">
      <w:pPr>
        <w:wordWrap w:val="0"/>
        <w:spacing w:before="0" w:after="0" w:line="378" w:lineRule="exact"/>
        <w:ind w:firstLineChars="200"/>
        <w:jc w:val="left"/>
      </w:pPr>
      <w:r>
        <w:rPr>
          <w:rFonts w:ascii="宋体" w:hAnsi="宋体" w:eastAsia="宋体" w:cs="宋体"/>
          <w:color w:val="000000"/>
          <w:sz w:val="21"/>
        </w:rPr>
        <w:t>（1）谈判小组讨论、通过谈判评审工作流程和谈判要点；</w:t>
      </w:r>
    </w:p>
    <w:p w14:paraId="4AB8533A">
      <w:pPr>
        <w:wordWrap w:val="0"/>
        <w:spacing w:before="0" w:after="0" w:line="378" w:lineRule="exact"/>
        <w:ind w:firstLineChars="200"/>
        <w:jc w:val="left"/>
      </w:pPr>
      <w:r>
        <w:rPr>
          <w:rFonts w:ascii="宋体" w:hAnsi="宋体" w:eastAsia="宋体" w:cs="宋体"/>
          <w:color w:val="000000"/>
          <w:sz w:val="21"/>
        </w:rPr>
        <w:t>（2）谈判小组审阅采购文件和响应文件；</w:t>
      </w:r>
    </w:p>
    <w:p w14:paraId="6A41752D">
      <w:pPr>
        <w:wordWrap w:val="0"/>
        <w:spacing w:before="0" w:after="0" w:line="378" w:lineRule="exact"/>
        <w:ind w:firstLineChars="200"/>
        <w:jc w:val="left"/>
      </w:pPr>
      <w:r>
        <w:rPr>
          <w:rFonts w:ascii="宋体" w:hAnsi="宋体" w:eastAsia="宋体" w:cs="宋体"/>
          <w:color w:val="000000"/>
          <w:sz w:val="21"/>
        </w:rPr>
        <w:t>（3）围绕谈判要点谈判小组全体成员集中与谈判供应商进行谈判。</w:t>
      </w:r>
    </w:p>
    <w:p w14:paraId="78CA5D01">
      <w:pPr>
        <w:wordWrap w:val="0"/>
        <w:spacing w:before="0" w:after="0" w:line="378" w:lineRule="exact"/>
        <w:ind w:firstLineChars="200"/>
        <w:jc w:val="left"/>
      </w:pPr>
      <w:r>
        <w:rPr>
          <w:rFonts w:ascii="宋体" w:hAnsi="宋体" w:eastAsia="宋体" w:cs="宋体"/>
          <w:color w:val="000000"/>
          <w:sz w:val="21"/>
        </w:rPr>
        <w:t>（4）采购文件有实质性变动的，谈判小组将以书面形式通知谈判供应商。</w:t>
      </w:r>
    </w:p>
    <w:p w14:paraId="1F4B01C2">
      <w:pPr>
        <w:wordWrap w:val="0"/>
        <w:spacing w:after="0" w:line="503" w:lineRule="exact"/>
        <w:ind w:firstLineChars="150"/>
        <w:jc w:val="left"/>
        <w:outlineLvl w:val="2"/>
      </w:pPr>
      <w:r>
        <w:rPr>
          <w:rFonts w:ascii="黑体" w:hAnsi="黑体" w:eastAsia="黑体" w:cs="黑体"/>
          <w:color w:val="000000"/>
          <w:sz w:val="28"/>
        </w:rPr>
        <w:t>20、谈判评审要点</w:t>
      </w:r>
    </w:p>
    <w:p w14:paraId="0A3EEB6F">
      <w:pPr>
        <w:wordWrap w:val="0"/>
        <w:spacing w:after="0" w:line="378" w:lineRule="exact"/>
        <w:ind w:firstLineChars="200"/>
        <w:jc w:val="left"/>
      </w:pPr>
      <w:r>
        <w:rPr>
          <w:rFonts w:ascii="宋体" w:hAnsi="宋体" w:eastAsia="宋体" w:cs="宋体"/>
          <w:color w:val="000000"/>
          <w:sz w:val="21"/>
        </w:rPr>
        <w:t>20.1 谈判供应商资质；</w:t>
      </w:r>
    </w:p>
    <w:p w14:paraId="5AC9274D">
      <w:pPr>
        <w:wordWrap w:val="0"/>
        <w:spacing w:before="0" w:after="0" w:line="378" w:lineRule="exact"/>
        <w:ind w:firstLineChars="200"/>
        <w:jc w:val="left"/>
      </w:pPr>
      <w:r>
        <w:rPr>
          <w:rFonts w:ascii="宋体" w:hAnsi="宋体" w:eastAsia="宋体" w:cs="宋体"/>
          <w:color w:val="000000"/>
          <w:sz w:val="21"/>
        </w:rPr>
        <w:t>20.2 谈判响应方案与需求的吻合程度，包括方案的科学性、先进性、合理性和扩展性等；</w:t>
      </w:r>
    </w:p>
    <w:p w14:paraId="13092674">
      <w:pPr>
        <w:wordWrap w:val="0"/>
        <w:spacing w:before="0" w:after="0" w:line="378" w:lineRule="exact"/>
        <w:ind w:firstLineChars="200"/>
        <w:jc w:val="left"/>
      </w:pPr>
      <w:r>
        <w:rPr>
          <w:rFonts w:ascii="宋体" w:hAnsi="宋体" w:eastAsia="宋体" w:cs="宋体"/>
          <w:color w:val="000000"/>
          <w:sz w:val="21"/>
        </w:rPr>
        <w:t>20.3 谈判供应商报价的合理性；</w:t>
      </w:r>
    </w:p>
    <w:p w14:paraId="468739EF">
      <w:pPr>
        <w:wordWrap w:val="0"/>
        <w:spacing w:before="0" w:after="0" w:line="378" w:lineRule="exact"/>
        <w:ind w:firstLineChars="200"/>
        <w:jc w:val="left"/>
      </w:pPr>
      <w:r>
        <w:rPr>
          <w:rFonts w:ascii="宋体" w:hAnsi="宋体" w:eastAsia="宋体" w:cs="宋体"/>
          <w:color w:val="000000"/>
          <w:sz w:val="21"/>
        </w:rPr>
        <w:t>20.4 谈判供应商在从事同类项目建设的有关业绩；</w:t>
      </w:r>
    </w:p>
    <w:p w14:paraId="4AA97641">
      <w:pPr>
        <w:wordWrap w:val="0"/>
        <w:spacing w:before="0" w:after="0" w:line="378" w:lineRule="exact"/>
        <w:ind w:firstLineChars="200"/>
        <w:jc w:val="left"/>
      </w:pPr>
      <w:r>
        <w:rPr>
          <w:rFonts w:ascii="宋体" w:hAnsi="宋体" w:eastAsia="宋体" w:cs="宋体"/>
          <w:color w:val="000000"/>
          <w:sz w:val="21"/>
        </w:rPr>
        <w:t>20.5 谈判供应商提交的项目偏差情况；</w:t>
      </w:r>
    </w:p>
    <w:p w14:paraId="19B58D50">
      <w:pPr>
        <w:wordWrap w:val="0"/>
        <w:spacing w:before="0" w:after="0" w:line="378" w:lineRule="exact"/>
        <w:ind w:firstLineChars="200"/>
        <w:jc w:val="left"/>
      </w:pPr>
      <w:r>
        <w:rPr>
          <w:rFonts w:ascii="宋体" w:hAnsi="宋体" w:eastAsia="宋体" w:cs="宋体"/>
          <w:color w:val="000000"/>
          <w:sz w:val="21"/>
        </w:rPr>
        <w:t>20.6 谈判供应商实施方案的科学性、规范性、可操作性，包括安排参与项目的人员的素质、技术能力、经验及人数是否符合标书要求；</w:t>
      </w:r>
    </w:p>
    <w:p w14:paraId="537B2D65">
      <w:pPr>
        <w:wordWrap w:val="0"/>
        <w:spacing w:before="0" w:after="0" w:line="378" w:lineRule="exact"/>
        <w:ind w:firstLineChars="200"/>
        <w:jc w:val="left"/>
      </w:pPr>
      <w:r>
        <w:rPr>
          <w:rFonts w:ascii="宋体" w:hAnsi="宋体" w:eastAsia="宋体" w:cs="宋体"/>
          <w:color w:val="000000"/>
          <w:sz w:val="21"/>
        </w:rPr>
        <w:t>20.7 谈判供应商提出的优惠条件和承诺；</w:t>
      </w:r>
    </w:p>
    <w:p w14:paraId="7E376858">
      <w:pPr>
        <w:wordWrap w:val="0"/>
        <w:spacing w:before="0" w:after="0" w:line="378" w:lineRule="exact"/>
        <w:ind w:firstLineChars="200"/>
        <w:jc w:val="left"/>
      </w:pPr>
      <w:r>
        <w:rPr>
          <w:rFonts w:ascii="宋体" w:hAnsi="宋体" w:eastAsia="宋体" w:cs="宋体"/>
          <w:color w:val="000000"/>
          <w:sz w:val="21"/>
        </w:rPr>
        <w:t>20.8 谈判供应商的技术支持和维护能力；</w:t>
      </w:r>
    </w:p>
    <w:p w14:paraId="6C2FA4EE">
      <w:pPr>
        <w:wordWrap w:val="0"/>
        <w:spacing w:before="0" w:after="0" w:line="378" w:lineRule="exact"/>
        <w:ind w:firstLineChars="200"/>
        <w:jc w:val="left"/>
      </w:pPr>
      <w:r>
        <w:rPr>
          <w:rFonts w:ascii="宋体" w:hAnsi="宋体" w:eastAsia="宋体" w:cs="宋体"/>
          <w:color w:val="000000"/>
          <w:sz w:val="21"/>
        </w:rPr>
        <w:t>20.9 服务能力；</w:t>
      </w:r>
    </w:p>
    <w:p w14:paraId="1D4A9A28">
      <w:pPr>
        <w:wordWrap w:val="0"/>
        <w:spacing w:before="0" w:after="0" w:line="378" w:lineRule="exact"/>
        <w:ind w:firstLineChars="200"/>
        <w:jc w:val="left"/>
      </w:pPr>
      <w:r>
        <w:rPr>
          <w:rFonts w:ascii="宋体" w:hAnsi="宋体" w:eastAsia="宋体" w:cs="宋体"/>
          <w:color w:val="000000"/>
          <w:sz w:val="21"/>
        </w:rPr>
        <w:t>20.10 其他。</w:t>
      </w:r>
    </w:p>
    <w:p w14:paraId="58416FF5">
      <w:pPr>
        <w:wordWrap w:val="0"/>
        <w:spacing w:after="0" w:line="503" w:lineRule="exact"/>
        <w:ind w:firstLineChars="150"/>
        <w:jc w:val="left"/>
        <w:outlineLvl w:val="2"/>
      </w:pPr>
      <w:r>
        <w:rPr>
          <w:rFonts w:ascii="黑体" w:hAnsi="黑体" w:eastAsia="黑体" w:cs="黑体"/>
          <w:color w:val="000000"/>
          <w:sz w:val="28"/>
        </w:rPr>
        <w:t>21、评审</w:t>
      </w:r>
    </w:p>
    <w:p w14:paraId="7AA09725">
      <w:pPr>
        <w:wordWrap w:val="0"/>
        <w:spacing w:after="0" w:line="378" w:lineRule="exact"/>
        <w:ind w:firstLineChars="200"/>
        <w:jc w:val="left"/>
      </w:pPr>
      <w:r>
        <w:rPr>
          <w:rFonts w:ascii="宋体" w:hAnsi="宋体" w:eastAsia="宋体" w:cs="宋体"/>
          <w:color w:val="000000"/>
          <w:sz w:val="21"/>
        </w:rPr>
        <w:t>21.1 谈判结束后，谈判供应商在规定的时间内最终报价；</w:t>
      </w:r>
    </w:p>
    <w:p w14:paraId="23B90A0F">
      <w:pPr>
        <w:wordWrap w:val="0"/>
        <w:spacing w:before="0" w:after="0" w:line="378" w:lineRule="exact"/>
        <w:ind w:firstLineChars="200"/>
        <w:jc w:val="left"/>
      </w:pPr>
      <w:r>
        <w:rPr>
          <w:rFonts w:ascii="宋体" w:hAnsi="宋体" w:eastAsia="宋体" w:cs="宋体"/>
          <w:color w:val="000000"/>
          <w:sz w:val="21"/>
        </w:rPr>
        <w:t>21.2 评标委员会对谈判供应商的谈判响应方案、最终报价、综合服务能力、人员投入等方面进行综合评审，形成评审意见。</w:t>
      </w:r>
    </w:p>
    <w:p w14:paraId="730AA6CA">
      <w:pPr>
        <w:wordWrap w:val="0"/>
        <w:spacing w:after="0" w:line="503" w:lineRule="exact"/>
        <w:ind w:firstLineChars="150"/>
        <w:jc w:val="left"/>
        <w:outlineLvl w:val="2"/>
      </w:pPr>
      <w:r>
        <w:rPr>
          <w:rFonts w:ascii="黑体" w:hAnsi="黑体" w:eastAsia="黑体" w:cs="黑体"/>
          <w:color w:val="000000"/>
          <w:sz w:val="28"/>
        </w:rPr>
        <w:t>22、谈判内容的保密</w:t>
      </w:r>
    </w:p>
    <w:p w14:paraId="0FAB8B15">
      <w:pPr>
        <w:wordWrap w:val="0"/>
        <w:spacing w:after="0" w:line="378" w:lineRule="exact"/>
        <w:ind w:firstLineChars="200"/>
        <w:jc w:val="left"/>
      </w:pPr>
      <w:r>
        <w:rPr>
          <w:rFonts w:ascii="宋体" w:hAnsi="宋体" w:eastAsia="宋体" w:cs="宋体"/>
          <w:color w:val="000000"/>
          <w:sz w:val="21"/>
        </w:rPr>
        <w:t>22.1 谈判开始后，直到宣布成交结果止，凡属于审查、澄清、评价和比较谈判响应的所有资料，都不应向谈判供应商或与谈判无关的其他人泄露。</w:t>
      </w:r>
    </w:p>
    <w:p w14:paraId="385D4AFD">
      <w:pPr>
        <w:wordWrap w:val="0"/>
        <w:spacing w:before="0" w:after="0" w:line="378" w:lineRule="exact"/>
        <w:ind w:firstLineChars="200"/>
        <w:jc w:val="left"/>
      </w:pPr>
      <w:r>
        <w:rPr>
          <w:rFonts w:ascii="宋体" w:hAnsi="宋体" w:eastAsia="宋体" w:cs="宋体"/>
          <w:color w:val="000000"/>
          <w:sz w:val="21"/>
        </w:rPr>
        <w:t>22.2 在响应文件的审查、澄清、评价和比较以及确定成交供应商过程中，谈判供应商对采购机构和谈判小组施加影响的任何行为，都将导致取消资格。</w:t>
      </w:r>
    </w:p>
    <w:p w14:paraId="253E0AC6">
      <w:pPr>
        <w:wordWrap w:val="0"/>
        <w:spacing w:after="0" w:line="503" w:lineRule="exact"/>
        <w:ind w:firstLineChars="150"/>
        <w:jc w:val="left"/>
        <w:outlineLvl w:val="2"/>
      </w:pPr>
      <w:r>
        <w:rPr>
          <w:rFonts w:ascii="黑体" w:hAnsi="黑体" w:eastAsia="黑体" w:cs="黑体"/>
          <w:color w:val="000000"/>
          <w:sz w:val="28"/>
        </w:rPr>
        <w:t>23、响应文件的澄清</w:t>
      </w:r>
    </w:p>
    <w:p w14:paraId="171C833C">
      <w:pPr>
        <w:wordWrap w:val="0"/>
        <w:spacing w:after="0" w:line="378" w:lineRule="exact"/>
        <w:ind w:firstLineChars="200"/>
        <w:jc w:val="left"/>
      </w:pPr>
      <w:r>
        <w:rPr>
          <w:rFonts w:ascii="宋体" w:hAnsi="宋体" w:eastAsia="宋体" w:cs="宋体"/>
          <w:color w:val="000000"/>
          <w:sz w:val="21"/>
        </w:rPr>
        <w:t>23.1 对响应文件中含义不明、表述不一致或有明显计算错误等内容，谈判小组将对谈判供应商进行询标，并要求谈判供应商作书面澄清；谈判供应商的书面澄清，应由法定代表人或授权代表签字，作为响应文件的补充部分。</w:t>
      </w:r>
    </w:p>
    <w:p w14:paraId="10A0B235">
      <w:pPr>
        <w:wordWrap w:val="0"/>
        <w:spacing w:after="0" w:line="503" w:lineRule="exact"/>
        <w:ind w:firstLineChars="150"/>
        <w:jc w:val="left"/>
        <w:outlineLvl w:val="2"/>
      </w:pPr>
      <w:r>
        <w:rPr>
          <w:rFonts w:ascii="黑体" w:hAnsi="黑体" w:eastAsia="黑体" w:cs="黑体"/>
          <w:color w:val="000000"/>
          <w:sz w:val="28"/>
        </w:rPr>
        <w:t>24、无效标</w:t>
      </w:r>
    </w:p>
    <w:p w14:paraId="51FDFA32">
      <w:pPr>
        <w:wordWrap w:val="0"/>
        <w:spacing w:after="0" w:line="378" w:lineRule="exact"/>
        <w:ind w:firstLineChars="200"/>
        <w:jc w:val="left"/>
      </w:pPr>
      <w:r>
        <w:rPr>
          <w:rFonts w:ascii="宋体" w:hAnsi="宋体" w:eastAsia="宋体" w:cs="宋体"/>
          <w:color w:val="000000"/>
          <w:sz w:val="21"/>
        </w:rPr>
        <w:t>24.1 响应文件有下列情况之一的，其响应文件作无效处理：</w:t>
      </w:r>
    </w:p>
    <w:p w14:paraId="31DCEA4C">
      <w:pPr>
        <w:wordWrap w:val="0"/>
        <w:spacing w:before="0" w:after="0" w:line="378" w:lineRule="exact"/>
        <w:ind w:firstLineChars="200"/>
        <w:jc w:val="left"/>
      </w:pPr>
      <w:r>
        <w:rPr>
          <w:rFonts w:ascii="宋体" w:hAnsi="宋体" w:eastAsia="宋体" w:cs="宋体"/>
          <w:color w:val="000000"/>
          <w:sz w:val="21"/>
        </w:rPr>
        <w:t>（1）响应文件没有密封包装或者由于包装不妥，在送交途中严重破损或失散的响应文件；</w:t>
      </w:r>
    </w:p>
    <w:p w14:paraId="165C3F27">
      <w:pPr>
        <w:wordWrap w:val="0"/>
        <w:spacing w:before="0" w:after="0" w:line="378" w:lineRule="exact"/>
        <w:ind w:firstLineChars="200"/>
        <w:jc w:val="left"/>
      </w:pPr>
      <w:r>
        <w:rPr>
          <w:rFonts w:ascii="宋体" w:hAnsi="宋体" w:eastAsia="宋体" w:cs="宋体"/>
          <w:color w:val="000000"/>
          <w:sz w:val="21"/>
        </w:rPr>
        <w:t>（2）开标时授权委托人与响应文件中授权委托书所载内容有异的；</w:t>
      </w:r>
    </w:p>
    <w:p w14:paraId="72001CF1">
      <w:pPr>
        <w:wordWrap w:val="0"/>
        <w:spacing w:before="0" w:after="0" w:line="378" w:lineRule="exact"/>
        <w:ind w:firstLineChars="200"/>
        <w:jc w:val="left"/>
      </w:pPr>
      <w:r>
        <w:rPr>
          <w:rFonts w:ascii="宋体" w:hAnsi="宋体" w:eastAsia="宋体" w:cs="宋体"/>
          <w:color w:val="000000"/>
          <w:sz w:val="21"/>
        </w:rPr>
        <w:t>（3）响应文件组成漏项或未按规定的格式编制或响应文件正、副本份数不足，内容不全或内容字迹模糊辨认不清的；</w:t>
      </w:r>
    </w:p>
    <w:p w14:paraId="0FEB1C50">
      <w:pPr>
        <w:wordWrap w:val="0"/>
        <w:spacing w:before="0" w:after="0" w:line="378" w:lineRule="exact"/>
        <w:ind w:firstLineChars="200"/>
        <w:jc w:val="left"/>
      </w:pPr>
      <w:r>
        <w:rPr>
          <w:rFonts w:ascii="宋体" w:hAnsi="宋体" w:eastAsia="宋体" w:cs="宋体"/>
          <w:color w:val="000000"/>
          <w:sz w:val="21"/>
        </w:rPr>
        <w:t>（4）谈判供应商不具备谈判响应资格的；</w:t>
      </w:r>
    </w:p>
    <w:p w14:paraId="52BBAE1C">
      <w:pPr>
        <w:wordWrap w:val="0"/>
        <w:spacing w:before="0" w:after="0" w:line="378" w:lineRule="exact"/>
        <w:ind w:firstLineChars="200"/>
        <w:jc w:val="left"/>
      </w:pPr>
      <w:r>
        <w:rPr>
          <w:rFonts w:ascii="宋体" w:hAnsi="宋体" w:eastAsia="宋体" w:cs="宋体"/>
          <w:color w:val="000000"/>
          <w:sz w:val="21"/>
        </w:rPr>
        <w:t>（5）谈判响应报价明显高于市场价或低于成本价，且不能提供书面证明材料说明原因的；</w:t>
      </w:r>
    </w:p>
    <w:p w14:paraId="746F0A1F">
      <w:pPr>
        <w:wordWrap w:val="0"/>
        <w:spacing w:before="0" w:after="0" w:line="378" w:lineRule="exact"/>
        <w:ind w:firstLineChars="200"/>
        <w:jc w:val="left"/>
      </w:pPr>
      <w:r>
        <w:rPr>
          <w:rFonts w:ascii="宋体" w:hAnsi="宋体" w:eastAsia="宋体" w:cs="宋体"/>
          <w:color w:val="000000"/>
          <w:sz w:val="21"/>
        </w:rPr>
        <w:t>（6）谈判响应报价高于本项目采购预算（含分项预算）的；</w:t>
      </w:r>
    </w:p>
    <w:p w14:paraId="17EC7E99">
      <w:pPr>
        <w:wordWrap w:val="0"/>
        <w:spacing w:before="0" w:after="0" w:line="378" w:lineRule="exact"/>
        <w:ind w:firstLineChars="200"/>
        <w:jc w:val="left"/>
      </w:pPr>
      <w:r>
        <w:rPr>
          <w:rFonts w:ascii="宋体" w:hAnsi="宋体" w:eastAsia="宋体" w:cs="宋体"/>
          <w:color w:val="000000"/>
          <w:sz w:val="21"/>
        </w:rPr>
        <w:t>（7）谈判供应商未按采购文件变更通知更改响应文件的；</w:t>
      </w:r>
    </w:p>
    <w:p w14:paraId="49BF68F0">
      <w:pPr>
        <w:wordWrap w:val="0"/>
        <w:spacing w:before="0" w:after="0" w:line="378" w:lineRule="exact"/>
        <w:ind w:firstLineChars="200"/>
        <w:jc w:val="left"/>
      </w:pPr>
      <w:r>
        <w:rPr>
          <w:rFonts w:ascii="宋体" w:hAnsi="宋体" w:eastAsia="宋体" w:cs="宋体"/>
          <w:color w:val="000000"/>
          <w:sz w:val="21"/>
        </w:rPr>
        <w:t>（8）《谈判初次报价一览表》和《谈判响应报价明细清单》填写不完整或字迹不能辨认的；</w:t>
      </w:r>
    </w:p>
    <w:p w14:paraId="0BC4B107">
      <w:pPr>
        <w:wordWrap w:val="0"/>
        <w:spacing w:before="0" w:after="0" w:line="378" w:lineRule="exact"/>
        <w:ind w:firstLineChars="200"/>
        <w:jc w:val="left"/>
      </w:pPr>
      <w:r>
        <w:rPr>
          <w:rFonts w:ascii="宋体" w:hAnsi="宋体" w:eastAsia="宋体" w:cs="宋体"/>
          <w:color w:val="000000"/>
          <w:sz w:val="21"/>
        </w:rPr>
        <w:t>（9）经评审小组审核，谈判供应商所投内容不符合实质性采购要求的；</w:t>
      </w:r>
    </w:p>
    <w:p w14:paraId="20F4C974">
      <w:pPr>
        <w:wordWrap w:val="0"/>
        <w:spacing w:before="0" w:after="0" w:line="378" w:lineRule="exact"/>
        <w:ind w:firstLineChars="200"/>
        <w:jc w:val="left"/>
      </w:pPr>
      <w:r>
        <w:rPr>
          <w:rFonts w:ascii="宋体" w:hAnsi="宋体" w:eastAsia="宋体" w:cs="宋体"/>
          <w:color w:val="000000"/>
          <w:sz w:val="21"/>
        </w:rPr>
        <w:t>（10）谈判供应商拒绝按招标文件第19.3条修正原则对响应文件进行修改的；</w:t>
      </w:r>
    </w:p>
    <w:p w14:paraId="3E5E7CE1">
      <w:pPr>
        <w:wordWrap w:val="0"/>
        <w:spacing w:before="0" w:after="0" w:line="378" w:lineRule="exact"/>
        <w:ind w:firstLineChars="200"/>
        <w:jc w:val="left"/>
      </w:pPr>
      <w:r>
        <w:rPr>
          <w:rFonts w:ascii="宋体" w:hAnsi="宋体" w:eastAsia="宋体" w:cs="宋体"/>
          <w:color w:val="000000"/>
          <w:sz w:val="21"/>
        </w:rPr>
        <w:t>（11）谈判供应商提供虚假材料谈判响应的；</w:t>
      </w:r>
    </w:p>
    <w:p w14:paraId="077E9DCF">
      <w:pPr>
        <w:wordWrap w:val="0"/>
        <w:spacing w:before="0" w:after="0" w:line="378" w:lineRule="exact"/>
        <w:ind w:firstLineChars="200"/>
        <w:jc w:val="left"/>
      </w:pPr>
      <w:r>
        <w:rPr>
          <w:rFonts w:ascii="宋体" w:hAnsi="宋体" w:eastAsia="宋体" w:cs="宋体"/>
          <w:color w:val="000000"/>
          <w:sz w:val="21"/>
        </w:rPr>
        <w:t>（12）参与本次采购活动前三年内，谈判供应商在浙江省范围内政府采购领域中，在项目招标、谈判响应和合同履约期间存在违法以及违反政府采购供应商行为规范且情节严重的。</w:t>
      </w:r>
    </w:p>
    <w:p w14:paraId="691D936F">
      <w:pPr>
        <w:wordWrap w:val="0"/>
        <w:spacing w:before="207" w:after="207"/>
        <w:ind w:firstLineChars="100"/>
        <w:jc w:val="center"/>
        <w:outlineLvl w:val="1"/>
      </w:pPr>
      <w:r>
        <w:rPr>
          <w:rFonts w:ascii="宋体" w:hAnsi="宋体" w:eastAsia="宋体" w:cs="宋体"/>
          <w:b/>
          <w:color w:val="000000"/>
          <w:sz w:val="32"/>
        </w:rPr>
        <w:t>七、谈判结果确定</w:t>
      </w:r>
    </w:p>
    <w:p w14:paraId="76C5C8C1">
      <w:pPr>
        <w:wordWrap w:val="0"/>
        <w:spacing w:after="0" w:line="503" w:lineRule="exact"/>
        <w:ind w:firstLineChars="150"/>
        <w:jc w:val="left"/>
        <w:outlineLvl w:val="2"/>
      </w:pPr>
      <w:r>
        <w:rPr>
          <w:rFonts w:ascii="黑体" w:hAnsi="黑体" w:eastAsia="黑体" w:cs="黑体"/>
          <w:color w:val="000000"/>
          <w:sz w:val="28"/>
        </w:rPr>
        <w:t>25、确定谈判结果</w:t>
      </w:r>
    </w:p>
    <w:p w14:paraId="72377643">
      <w:pPr>
        <w:wordWrap w:val="0"/>
        <w:spacing w:after="0" w:line="378" w:lineRule="exact"/>
        <w:ind w:firstLineChars="200"/>
        <w:jc w:val="left"/>
      </w:pPr>
      <w:r>
        <w:rPr>
          <w:rFonts w:ascii="宋体" w:hAnsi="宋体" w:eastAsia="宋体" w:cs="宋体"/>
          <w:color w:val="000000"/>
          <w:sz w:val="21"/>
        </w:rPr>
        <w:t>25.1 谈判小组将根据采购文件的规定，履行谈判评审工作职责，以谈判评审要点为标准，全面衡量谈判供应商对采购文件的响应情况，并提出授标建议。评审结果报经批准，最终确定预成交人。</w:t>
      </w:r>
    </w:p>
    <w:p w14:paraId="339179BB">
      <w:pPr>
        <w:wordWrap w:val="0"/>
        <w:spacing w:before="207" w:after="207"/>
        <w:ind w:firstLineChars="100"/>
        <w:jc w:val="center"/>
        <w:outlineLvl w:val="1"/>
      </w:pPr>
      <w:r>
        <w:rPr>
          <w:rFonts w:ascii="宋体" w:hAnsi="宋体" w:eastAsia="宋体" w:cs="宋体"/>
          <w:b/>
          <w:color w:val="000000"/>
          <w:sz w:val="32"/>
        </w:rPr>
        <w:t>八、合同签订及其他</w:t>
      </w:r>
    </w:p>
    <w:p w14:paraId="75F1F144">
      <w:pPr>
        <w:wordWrap w:val="0"/>
        <w:spacing w:after="0" w:line="503" w:lineRule="exact"/>
        <w:ind w:firstLineChars="150"/>
        <w:jc w:val="left"/>
        <w:outlineLvl w:val="2"/>
      </w:pPr>
      <w:r>
        <w:rPr>
          <w:rFonts w:ascii="黑体" w:hAnsi="黑体" w:eastAsia="黑体" w:cs="黑体"/>
          <w:color w:val="000000"/>
          <w:sz w:val="28"/>
        </w:rPr>
        <w:t>26、成交结果</w:t>
      </w:r>
    </w:p>
    <w:p w14:paraId="00DDCD8B">
      <w:pPr>
        <w:wordWrap w:val="0"/>
        <w:spacing w:after="0" w:line="378" w:lineRule="exact"/>
        <w:ind w:firstLineChars="200"/>
        <w:jc w:val="left"/>
      </w:pPr>
      <w:r>
        <w:rPr>
          <w:rFonts w:ascii="宋体" w:hAnsi="宋体" w:eastAsia="宋体" w:cs="宋体"/>
          <w:color w:val="000000"/>
          <w:sz w:val="21"/>
        </w:rPr>
        <w:t>26.1 确定成交供应商后，采购机构将在发布采购公告的网站上公布评标结果，并将预成交结果在指定媒体上公示1个工作日，公示期内如无异议，采购机构向成交供应商签发成交通知书。</w:t>
      </w:r>
    </w:p>
    <w:p w14:paraId="40D57887">
      <w:pPr>
        <w:wordWrap w:val="0"/>
        <w:spacing w:before="0" w:after="0" w:line="378" w:lineRule="exact"/>
        <w:ind w:firstLineChars="200"/>
        <w:jc w:val="left"/>
      </w:pPr>
      <w:r>
        <w:rPr>
          <w:rFonts w:ascii="宋体" w:hAnsi="宋体" w:eastAsia="宋体" w:cs="宋体"/>
          <w:color w:val="000000"/>
          <w:sz w:val="21"/>
        </w:rPr>
        <w:t>在采购机构发出成交通知书前，预成交人有违反有关法律法规和本项目要求行为的，则取消该谈判供应商的预成交资格，并根据谈判小组建议重新组织采购等。</w:t>
      </w:r>
    </w:p>
    <w:p w14:paraId="26974644">
      <w:pPr>
        <w:wordWrap w:val="0"/>
        <w:spacing w:before="0" w:after="0" w:line="378" w:lineRule="exact"/>
        <w:ind w:firstLineChars="200"/>
        <w:jc w:val="left"/>
      </w:pPr>
      <w:r>
        <w:rPr>
          <w:rFonts w:ascii="宋体" w:hAnsi="宋体" w:eastAsia="宋体" w:cs="宋体"/>
          <w:color w:val="000000"/>
          <w:sz w:val="21"/>
        </w:rPr>
        <w:t>26.2 谈判供应商全部接受合同条件并签订合同后，成交通知书亦成为合同的组成部分。</w:t>
      </w:r>
    </w:p>
    <w:p w14:paraId="36D5DE9D">
      <w:pPr>
        <w:wordWrap w:val="0"/>
        <w:spacing w:before="0" w:after="0" w:line="378" w:lineRule="exact"/>
        <w:ind w:firstLineChars="200"/>
        <w:jc w:val="left"/>
      </w:pPr>
      <w:r>
        <w:rPr>
          <w:rFonts w:ascii="宋体" w:hAnsi="宋体" w:eastAsia="宋体" w:cs="宋体"/>
          <w:color w:val="000000"/>
          <w:sz w:val="21"/>
        </w:rPr>
        <w:t>26.3 如成交供应商拒绝承担预成交项目，或提出采购人、采购机构不能接受的条件，致使合同无法签订，采购机构将取消其成交资格，并根据谈判小组建议重新组织采购等。</w:t>
      </w:r>
    </w:p>
    <w:p w14:paraId="63BBE271">
      <w:pPr>
        <w:wordWrap w:val="0"/>
        <w:spacing w:after="0" w:line="503" w:lineRule="exact"/>
        <w:ind w:firstLineChars="150"/>
        <w:jc w:val="left"/>
        <w:outlineLvl w:val="2"/>
      </w:pPr>
      <w:r>
        <w:rPr>
          <w:rFonts w:ascii="黑体" w:hAnsi="黑体" w:eastAsia="黑体" w:cs="黑体"/>
          <w:color w:val="000000"/>
          <w:sz w:val="28"/>
        </w:rPr>
        <w:t>27、合同的签订</w:t>
      </w:r>
    </w:p>
    <w:p w14:paraId="68036AAB">
      <w:pPr>
        <w:wordWrap w:val="0"/>
        <w:spacing w:after="0" w:line="378" w:lineRule="exact"/>
        <w:ind w:firstLineChars="200"/>
        <w:jc w:val="left"/>
      </w:pPr>
      <w:r>
        <w:rPr>
          <w:rFonts w:ascii="宋体" w:hAnsi="宋体" w:eastAsia="宋体" w:cs="宋体"/>
          <w:color w:val="000000"/>
          <w:sz w:val="21"/>
        </w:rPr>
        <w:t>27.1 成交供应商按规定的日期、时间、地点，由法定代表人或授权委托人与采购人代表签订合同，经采购机构鉴证后生效。</w:t>
      </w:r>
    </w:p>
    <w:p w14:paraId="32055E30">
      <w:pPr>
        <w:wordWrap w:val="0"/>
        <w:spacing w:after="0" w:line="503" w:lineRule="exact"/>
        <w:ind w:firstLineChars="150"/>
        <w:jc w:val="left"/>
        <w:outlineLvl w:val="2"/>
      </w:pPr>
      <w:r>
        <w:rPr>
          <w:rFonts w:ascii="黑体" w:hAnsi="黑体" w:eastAsia="黑体" w:cs="黑体"/>
          <w:color w:val="000000"/>
          <w:sz w:val="28"/>
        </w:rPr>
        <w:t>28、售后服务考核</w:t>
      </w:r>
    </w:p>
    <w:p w14:paraId="1F07396F">
      <w:pPr>
        <w:wordWrap w:val="0"/>
        <w:spacing w:after="0" w:line="378" w:lineRule="exact"/>
        <w:ind w:firstLineChars="200"/>
        <w:jc w:val="left"/>
      </w:pPr>
      <w:r>
        <w:rPr>
          <w:rFonts w:ascii="宋体" w:hAnsi="宋体" w:eastAsia="宋体" w:cs="宋体"/>
          <w:color w:val="000000"/>
          <w:sz w:val="21"/>
        </w:rPr>
        <w:t>28.1 采购机构将配合政府采购监管部门不定期对合同的履约情况进行检查，发现弄虚作假，偷工减料，以次充好，达不到国家、行业有关标准和技术文件规定的，一经查实，由政府采购监督管理部门给予相应处罚。</w:t>
      </w:r>
    </w:p>
    <w:p w14:paraId="0D89A958">
      <w:pPr>
        <w:wordWrap w:val="0"/>
        <w:spacing w:before="207" w:after="207"/>
        <w:ind w:firstLineChars="100"/>
        <w:jc w:val="center"/>
        <w:outlineLvl w:val="1"/>
      </w:pPr>
      <w:r>
        <w:rPr>
          <w:rFonts w:ascii="宋体" w:hAnsi="宋体" w:eastAsia="宋体" w:cs="宋体"/>
          <w:b/>
          <w:color w:val="000000"/>
          <w:sz w:val="32"/>
        </w:rPr>
        <w:t>九、质疑与投诉</w:t>
      </w:r>
    </w:p>
    <w:p w14:paraId="351685E3">
      <w:pPr>
        <w:wordWrap w:val="0"/>
        <w:spacing w:after="0" w:line="503" w:lineRule="exact"/>
        <w:ind w:firstLineChars="150"/>
        <w:jc w:val="left"/>
        <w:outlineLvl w:val="2"/>
      </w:pPr>
      <w:r>
        <w:rPr>
          <w:rFonts w:ascii="黑体" w:hAnsi="黑体" w:eastAsia="黑体" w:cs="黑体"/>
          <w:color w:val="000000"/>
          <w:sz w:val="28"/>
        </w:rPr>
        <w:t>29、质疑与投诉</w:t>
      </w:r>
    </w:p>
    <w:p w14:paraId="310B6CBD">
      <w:pPr>
        <w:wordWrap w:val="0"/>
        <w:spacing w:after="0" w:line="378" w:lineRule="exact"/>
        <w:ind w:firstLineChars="200"/>
        <w:jc w:val="left"/>
      </w:pPr>
      <w:r>
        <w:rPr>
          <w:rFonts w:ascii="宋体" w:hAnsi="宋体" w:eastAsia="宋体" w:cs="宋体"/>
          <w:color w:val="000000"/>
          <w:sz w:val="21"/>
        </w:rPr>
        <w:t>29.1 谈判供应商对政府采购活动事项有疑问的，可以向采购单位和采购机构提出询问，采购单位和采购机构应当及时做出答复，但答复的内容不得涉及商业秘密。</w:t>
      </w:r>
    </w:p>
    <w:p w14:paraId="62FB3C6F">
      <w:pPr>
        <w:wordWrap w:val="0"/>
        <w:spacing w:before="0" w:after="0" w:line="378" w:lineRule="exact"/>
        <w:ind w:firstLineChars="200"/>
        <w:jc w:val="left"/>
      </w:pPr>
      <w:r>
        <w:rPr>
          <w:rFonts w:ascii="宋体" w:hAnsi="宋体" w:eastAsia="宋体" w:cs="宋体"/>
          <w:color w:val="000000"/>
          <w:sz w:val="21"/>
        </w:rPr>
        <w:t>29.2 谈判供应商认为采购文件、采购过程和成交、成交结果使自己的权益受到损害的，可以在知道或者应知其权益受到损害之日起七个工作日内，以书面形式向采购单位和采购机构提出质疑。</w:t>
      </w:r>
    </w:p>
    <w:p w14:paraId="5F796491">
      <w:pPr>
        <w:wordWrap w:val="0"/>
        <w:spacing w:before="0" w:after="0" w:line="378" w:lineRule="exact"/>
        <w:ind w:firstLineChars="200"/>
        <w:jc w:val="left"/>
      </w:pPr>
      <w:r>
        <w:rPr>
          <w:rFonts w:ascii="宋体" w:hAnsi="宋体" w:eastAsia="宋体" w:cs="宋体"/>
          <w:color w:val="000000"/>
          <w:sz w:val="21"/>
        </w:rPr>
        <w:t>29.3 采购单位和采购机构应当在收到谈判供应商的书面质疑后七个工作日内做出答复，并以书面形式通知质疑谈判供应商，但答复的内容不得涉及商业秘密。</w:t>
      </w:r>
    </w:p>
    <w:p w14:paraId="744ECE5D">
      <w:pPr>
        <w:spacing w:before="0" w:after="0" w:line="390" w:lineRule="exact"/>
      </w:pPr>
    </w:p>
    <w:p w14:paraId="67D0CE6E">
      <w:pPr>
        <w:sectPr>
          <w:pgSz w:w="11907" w:h="16839"/>
          <w:pgMar w:top="1077" w:right="1154" w:bottom="1077" w:left="1154" w:header="720" w:footer="720" w:gutter="0"/>
          <w:cols w:space="720" w:num="1"/>
        </w:sectPr>
      </w:pPr>
    </w:p>
    <w:p w14:paraId="5871C021">
      <w:pPr>
        <w:wordWrap w:val="0"/>
        <w:spacing w:before="75" w:after="75"/>
        <w:jc w:val="center"/>
        <w:outlineLvl w:val="0"/>
      </w:pPr>
      <w:r>
        <w:rPr>
          <w:rFonts w:ascii="宋体" w:hAnsi="宋体" w:eastAsia="宋体" w:cs="宋体"/>
          <w:b/>
          <w:color w:val="000000"/>
          <w:sz w:val="40"/>
        </w:rPr>
        <w:t>第三部分 采购需求</w:t>
      </w:r>
    </w:p>
    <w:p w14:paraId="7940BC3A">
      <w:pPr>
        <w:wordWrap w:val="0"/>
        <w:spacing w:after="0" w:line="503" w:lineRule="exact"/>
        <w:jc w:val="left"/>
        <w:outlineLvl w:val="1"/>
      </w:pPr>
      <w:r>
        <w:rPr>
          <w:rFonts w:ascii="宋体" w:hAnsi="宋体" w:eastAsia="宋体" w:cs="宋体"/>
          <w:b/>
          <w:color w:val="000000"/>
          <w:sz w:val="28"/>
        </w:rPr>
        <w:t>一、采购清单</w:t>
      </w:r>
    </w:p>
    <w:p w14:paraId="755B5114">
      <w:pPr>
        <w:spacing w:before="0" w:after="0" w:line="195" w:lineRule="exact"/>
      </w:pPr>
    </w:p>
    <w:tbl>
      <w:tblPr>
        <w:tblStyle w:val="2"/>
        <w:tblW w:w="9600"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570"/>
        <w:gridCol w:w="3435"/>
        <w:gridCol w:w="1189"/>
        <w:gridCol w:w="738"/>
        <w:gridCol w:w="698"/>
        <w:gridCol w:w="2970"/>
      </w:tblGrid>
      <w:tr w14:paraId="7BAFAB8D">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510" w:hRule="atLeast"/>
          <w:jc w:val="center"/>
        </w:trPr>
        <w:tc>
          <w:tcPr>
            <w:tcW w:w="570" w:type="dxa"/>
            <w:tcBorders>
              <w:top w:val="single" w:color="auto" w:sz="6" w:space="0"/>
              <w:left w:val="single" w:color="auto" w:sz="6" w:space="0"/>
              <w:bottom w:val="nil"/>
              <w:right w:val="nil"/>
            </w:tcBorders>
            <w:tcMar>
              <w:top w:w="20" w:type="dxa"/>
              <w:left w:w="20" w:type="dxa"/>
              <w:bottom w:w="20" w:type="dxa"/>
              <w:right w:w="20" w:type="dxa"/>
            </w:tcMar>
            <w:vAlign w:val="center"/>
          </w:tcPr>
          <w:p w14:paraId="480C50E2">
            <w:pPr>
              <w:wordWrap w:val="0"/>
              <w:jc w:val="center"/>
            </w:pPr>
            <w:r>
              <w:rPr>
                <w:rFonts w:ascii="宋体" w:hAnsi="宋体" w:eastAsia="宋体" w:cs="宋体"/>
                <w:color w:val="000000"/>
                <w:sz w:val="21"/>
              </w:rPr>
              <w:t>序号</w:t>
            </w:r>
          </w:p>
        </w:tc>
        <w:tc>
          <w:tcPr>
            <w:tcW w:w="3435" w:type="dxa"/>
            <w:tcBorders>
              <w:top w:val="single" w:color="auto" w:sz="6" w:space="0"/>
              <w:left w:val="single" w:color="auto" w:sz="6" w:space="0"/>
              <w:bottom w:val="nil"/>
              <w:right w:val="nil"/>
            </w:tcBorders>
            <w:tcMar>
              <w:top w:w="20" w:type="dxa"/>
              <w:left w:w="20" w:type="dxa"/>
              <w:bottom w:w="20" w:type="dxa"/>
              <w:right w:w="20" w:type="dxa"/>
            </w:tcMar>
            <w:vAlign w:val="center"/>
          </w:tcPr>
          <w:p w14:paraId="02DE430B">
            <w:pPr>
              <w:wordWrap w:val="0"/>
              <w:spacing w:after="0" w:line="273" w:lineRule="exact"/>
              <w:jc w:val="center"/>
            </w:pPr>
            <w:r>
              <w:rPr>
                <w:rFonts w:ascii="宋体" w:hAnsi="宋体" w:eastAsia="宋体" w:cs="宋体"/>
                <w:color w:val="000000"/>
                <w:sz w:val="21"/>
              </w:rPr>
              <w:t>服务内容</w:t>
            </w:r>
          </w:p>
        </w:tc>
        <w:tc>
          <w:tcPr>
            <w:tcW w:w="1189" w:type="dxa"/>
            <w:tcBorders>
              <w:top w:val="single" w:color="auto" w:sz="6" w:space="0"/>
              <w:left w:val="single" w:color="auto" w:sz="6" w:space="0"/>
              <w:bottom w:val="nil"/>
              <w:right w:val="nil"/>
            </w:tcBorders>
            <w:tcMar>
              <w:top w:w="20" w:type="dxa"/>
              <w:left w:w="20" w:type="dxa"/>
              <w:bottom w:w="20" w:type="dxa"/>
              <w:right w:w="20" w:type="dxa"/>
            </w:tcMar>
            <w:vAlign w:val="center"/>
          </w:tcPr>
          <w:p w14:paraId="536AECC2">
            <w:pPr>
              <w:wordWrap w:val="0"/>
              <w:spacing w:after="0" w:line="273" w:lineRule="exact"/>
              <w:jc w:val="center"/>
            </w:pPr>
            <w:r>
              <w:rPr>
                <w:rFonts w:ascii="宋体" w:hAnsi="宋体" w:eastAsia="宋体" w:cs="宋体"/>
                <w:color w:val="000000"/>
                <w:sz w:val="21"/>
              </w:rPr>
              <w:t>服务期限</w:t>
            </w:r>
          </w:p>
        </w:tc>
        <w:tc>
          <w:tcPr>
            <w:tcW w:w="738" w:type="dxa"/>
            <w:tcBorders>
              <w:top w:val="single" w:color="auto" w:sz="6" w:space="0"/>
              <w:left w:val="single" w:color="auto" w:sz="6" w:space="0"/>
              <w:bottom w:val="nil"/>
              <w:right w:val="nil"/>
            </w:tcBorders>
            <w:tcMar>
              <w:top w:w="20" w:type="dxa"/>
              <w:left w:w="20" w:type="dxa"/>
              <w:bottom w:w="20" w:type="dxa"/>
              <w:right w:w="20" w:type="dxa"/>
            </w:tcMar>
            <w:vAlign w:val="center"/>
          </w:tcPr>
          <w:p w14:paraId="5C422208">
            <w:pPr>
              <w:wordWrap w:val="0"/>
              <w:spacing w:after="0" w:line="273" w:lineRule="exact"/>
              <w:jc w:val="center"/>
            </w:pPr>
            <w:r>
              <w:rPr>
                <w:rFonts w:ascii="宋体" w:hAnsi="宋体" w:eastAsia="宋体" w:cs="宋体"/>
                <w:color w:val="000000"/>
                <w:sz w:val="21"/>
              </w:rPr>
              <w:t>数量</w:t>
            </w:r>
          </w:p>
        </w:tc>
        <w:tc>
          <w:tcPr>
            <w:tcW w:w="698" w:type="dxa"/>
            <w:tcBorders>
              <w:top w:val="single" w:color="auto" w:sz="6" w:space="0"/>
              <w:left w:val="single" w:color="auto" w:sz="6" w:space="0"/>
              <w:bottom w:val="nil"/>
              <w:right w:val="nil"/>
            </w:tcBorders>
            <w:tcMar>
              <w:top w:w="20" w:type="dxa"/>
              <w:left w:w="20" w:type="dxa"/>
              <w:bottom w:w="20" w:type="dxa"/>
              <w:right w:w="20" w:type="dxa"/>
            </w:tcMar>
            <w:vAlign w:val="center"/>
          </w:tcPr>
          <w:p w14:paraId="4DB4AD75">
            <w:pPr>
              <w:wordWrap w:val="0"/>
              <w:spacing w:after="0" w:line="273" w:lineRule="exact"/>
              <w:jc w:val="center"/>
            </w:pPr>
            <w:r>
              <w:rPr>
                <w:rFonts w:ascii="宋体" w:hAnsi="宋体" w:eastAsia="宋体" w:cs="宋体"/>
                <w:color w:val="000000"/>
                <w:sz w:val="21"/>
              </w:rPr>
              <w:t>单位</w:t>
            </w:r>
          </w:p>
        </w:tc>
        <w:tc>
          <w:tcPr>
            <w:tcW w:w="2970"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63480C0A">
            <w:pPr>
              <w:wordWrap w:val="0"/>
              <w:spacing w:after="0" w:line="273" w:lineRule="exact"/>
              <w:jc w:val="center"/>
            </w:pPr>
            <w:r>
              <w:rPr>
                <w:rFonts w:ascii="宋体" w:hAnsi="宋体" w:eastAsia="宋体" w:cs="宋体"/>
                <w:color w:val="000000"/>
                <w:sz w:val="21"/>
              </w:rPr>
              <w:t>完成标准</w:t>
            </w:r>
          </w:p>
        </w:tc>
      </w:tr>
      <w:tr w14:paraId="59510966">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60" w:hRule="atLeast"/>
          <w:jc w:val="center"/>
        </w:trPr>
        <w:tc>
          <w:tcPr>
            <w:tcW w:w="570" w:type="dxa"/>
            <w:tcBorders>
              <w:top w:val="single" w:color="auto" w:sz="6" w:space="0"/>
              <w:left w:val="single" w:color="auto" w:sz="6" w:space="0"/>
              <w:bottom w:val="nil"/>
              <w:right w:val="nil"/>
            </w:tcBorders>
            <w:tcMar>
              <w:top w:w="20" w:type="dxa"/>
              <w:left w:w="20" w:type="dxa"/>
              <w:bottom w:w="20" w:type="dxa"/>
              <w:right w:w="20" w:type="dxa"/>
            </w:tcMar>
            <w:vAlign w:val="center"/>
          </w:tcPr>
          <w:p w14:paraId="646692FE">
            <w:pPr>
              <w:wordWrap w:val="0"/>
              <w:jc w:val="center"/>
            </w:pPr>
            <w:r>
              <w:rPr>
                <w:rFonts w:ascii="宋体" w:hAnsi="宋体" w:eastAsia="宋体" w:cs="宋体"/>
                <w:color w:val="000000"/>
                <w:sz w:val="21"/>
              </w:rPr>
              <w:t>1</w:t>
            </w:r>
          </w:p>
        </w:tc>
        <w:tc>
          <w:tcPr>
            <w:tcW w:w="3435" w:type="dxa"/>
            <w:tcBorders>
              <w:top w:val="single" w:color="auto" w:sz="6" w:space="0"/>
              <w:left w:val="single" w:color="auto" w:sz="6" w:space="0"/>
              <w:bottom w:val="nil"/>
              <w:right w:val="nil"/>
            </w:tcBorders>
            <w:tcMar>
              <w:top w:w="20" w:type="dxa"/>
              <w:left w:w="20" w:type="dxa"/>
              <w:bottom w:w="20" w:type="dxa"/>
              <w:right w:w="20" w:type="dxa"/>
            </w:tcMar>
            <w:vAlign w:val="center"/>
          </w:tcPr>
          <w:p w14:paraId="36412B33">
            <w:pPr>
              <w:wordWrap w:val="0"/>
              <w:spacing w:after="0" w:line="273" w:lineRule="exact"/>
              <w:jc w:val="left"/>
            </w:pPr>
            <w:r>
              <w:rPr>
                <w:rFonts w:ascii="宋体" w:hAnsi="宋体" w:eastAsia="宋体" w:cs="宋体"/>
                <w:color w:val="000000"/>
                <w:sz w:val="21"/>
              </w:rPr>
              <w:t>湖州师范学院正处于建设高水平师范大学的关键时期，亟需深圳艾瑞深信息咨询有限公司为其在人才培养、师资队伍、学科建设、科学研究、社会服务、国际合作等方面提供全方面的专业化评价监测。</w:t>
            </w:r>
          </w:p>
        </w:tc>
        <w:tc>
          <w:tcPr>
            <w:tcW w:w="1189" w:type="dxa"/>
            <w:tcBorders>
              <w:top w:val="single" w:color="auto" w:sz="6" w:space="0"/>
              <w:left w:val="single" w:color="auto" w:sz="6" w:space="0"/>
              <w:bottom w:val="nil"/>
              <w:right w:val="nil"/>
            </w:tcBorders>
            <w:tcMar>
              <w:top w:w="20" w:type="dxa"/>
              <w:left w:w="20" w:type="dxa"/>
              <w:bottom w:w="20" w:type="dxa"/>
              <w:right w:w="20" w:type="dxa"/>
            </w:tcMar>
            <w:vAlign w:val="center"/>
          </w:tcPr>
          <w:p w14:paraId="137033B0">
            <w:pPr>
              <w:wordWrap w:val="0"/>
              <w:spacing w:after="0" w:line="273" w:lineRule="exact"/>
              <w:jc w:val="left"/>
            </w:pPr>
            <w:r>
              <w:rPr>
                <w:rFonts w:ascii="宋体" w:hAnsi="宋体" w:eastAsia="宋体" w:cs="宋体"/>
                <w:color w:val="000000"/>
                <w:sz w:val="21"/>
              </w:rPr>
              <w:t>合同签订并生效后2年</w:t>
            </w:r>
          </w:p>
        </w:tc>
        <w:tc>
          <w:tcPr>
            <w:tcW w:w="738" w:type="dxa"/>
            <w:tcBorders>
              <w:top w:val="single" w:color="auto" w:sz="6" w:space="0"/>
              <w:left w:val="single" w:color="auto" w:sz="6" w:space="0"/>
              <w:bottom w:val="nil"/>
              <w:right w:val="nil"/>
            </w:tcBorders>
            <w:tcMar>
              <w:top w:w="20" w:type="dxa"/>
              <w:left w:w="20" w:type="dxa"/>
              <w:bottom w:w="20" w:type="dxa"/>
              <w:right w:w="20" w:type="dxa"/>
            </w:tcMar>
            <w:vAlign w:val="center"/>
          </w:tcPr>
          <w:p w14:paraId="768B253F">
            <w:pPr>
              <w:wordWrap w:val="0"/>
              <w:jc w:val="center"/>
            </w:pPr>
            <w:r>
              <w:rPr>
                <w:rFonts w:ascii="宋体" w:hAnsi="宋体" w:eastAsia="宋体" w:cs="宋体"/>
                <w:color w:val="000000"/>
                <w:sz w:val="21"/>
              </w:rPr>
              <w:t>2</w:t>
            </w:r>
          </w:p>
        </w:tc>
        <w:tc>
          <w:tcPr>
            <w:tcW w:w="698" w:type="dxa"/>
            <w:tcBorders>
              <w:top w:val="single" w:color="auto" w:sz="6" w:space="0"/>
              <w:left w:val="single" w:color="auto" w:sz="6" w:space="0"/>
              <w:bottom w:val="nil"/>
              <w:right w:val="nil"/>
            </w:tcBorders>
            <w:tcMar>
              <w:top w:w="20" w:type="dxa"/>
              <w:left w:w="20" w:type="dxa"/>
              <w:bottom w:w="20" w:type="dxa"/>
              <w:right w:w="20" w:type="dxa"/>
            </w:tcMar>
            <w:vAlign w:val="center"/>
          </w:tcPr>
          <w:p w14:paraId="41C33D9F">
            <w:pPr>
              <w:wordWrap w:val="0"/>
              <w:spacing w:after="0" w:line="273" w:lineRule="exact"/>
              <w:jc w:val="center"/>
            </w:pPr>
            <w:r>
              <w:rPr>
                <w:rFonts w:ascii="宋体" w:hAnsi="宋体" w:eastAsia="宋体" w:cs="宋体"/>
                <w:color w:val="000000"/>
                <w:sz w:val="21"/>
              </w:rPr>
              <w:t>年</w:t>
            </w:r>
          </w:p>
        </w:tc>
        <w:tc>
          <w:tcPr>
            <w:tcW w:w="2970"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34387E2B">
            <w:pPr>
              <w:wordWrap w:val="0"/>
              <w:spacing w:after="0" w:line="273" w:lineRule="exact"/>
              <w:jc w:val="left"/>
            </w:pPr>
            <w:r>
              <w:rPr>
                <w:rFonts w:ascii="宋体" w:hAnsi="宋体" w:eastAsia="宋体" w:cs="宋体"/>
                <w:color w:val="000000"/>
                <w:sz w:val="21"/>
              </w:rPr>
              <w:t>提供书面/电子版评价咨询报告或现场专家咨询报告，内容涵盖湖州师范学院办学定位、教育教学、师资队伍、学科专业、科学研究、社会声誉和国际影响等核心指标内容。</w:t>
            </w:r>
          </w:p>
        </w:tc>
      </w:tr>
      <w:tr w14:paraId="7CF65778">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0" w:hRule="exact"/>
          <w:jc w:val="center"/>
        </w:trPr>
        <w:tc>
          <w:tcPr>
            <w:tcW w:w="570" w:type="dxa"/>
            <w:tcBorders>
              <w:top w:val="single" w:color="auto" w:sz="6" w:space="0"/>
              <w:left w:val="nil"/>
              <w:bottom w:val="nil"/>
              <w:right w:val="nil"/>
            </w:tcBorders>
            <w:tcMar>
              <w:top w:w="20" w:type="dxa"/>
              <w:left w:w="20" w:type="dxa"/>
              <w:bottom w:w="20" w:type="dxa"/>
              <w:right w:w="20" w:type="dxa"/>
            </w:tcMar>
          </w:tcPr>
          <w:p w14:paraId="6FDD6D8E">
            <w:pPr>
              <w:wordWrap w:val="0"/>
            </w:pPr>
          </w:p>
        </w:tc>
        <w:tc>
          <w:tcPr>
            <w:tcW w:w="3435" w:type="dxa"/>
            <w:tcBorders>
              <w:top w:val="single" w:color="auto" w:sz="6" w:space="0"/>
              <w:left w:val="nil"/>
              <w:bottom w:val="nil"/>
              <w:right w:val="nil"/>
            </w:tcBorders>
            <w:tcMar>
              <w:top w:w="20" w:type="dxa"/>
              <w:left w:w="20" w:type="dxa"/>
              <w:bottom w:w="20" w:type="dxa"/>
              <w:right w:w="20" w:type="dxa"/>
            </w:tcMar>
          </w:tcPr>
          <w:p w14:paraId="0F3053B7">
            <w:pPr>
              <w:wordWrap w:val="0"/>
            </w:pPr>
          </w:p>
        </w:tc>
        <w:tc>
          <w:tcPr>
            <w:tcW w:w="1189" w:type="dxa"/>
            <w:tcBorders>
              <w:top w:val="single" w:color="auto" w:sz="6" w:space="0"/>
              <w:left w:val="nil"/>
              <w:bottom w:val="nil"/>
              <w:right w:val="nil"/>
            </w:tcBorders>
            <w:tcMar>
              <w:top w:w="20" w:type="dxa"/>
              <w:left w:w="20" w:type="dxa"/>
              <w:bottom w:w="20" w:type="dxa"/>
              <w:right w:w="20" w:type="dxa"/>
            </w:tcMar>
          </w:tcPr>
          <w:p w14:paraId="517FADEB">
            <w:pPr>
              <w:wordWrap w:val="0"/>
            </w:pPr>
          </w:p>
        </w:tc>
        <w:tc>
          <w:tcPr>
            <w:tcW w:w="738" w:type="dxa"/>
            <w:tcBorders>
              <w:top w:val="single" w:color="auto" w:sz="6" w:space="0"/>
              <w:left w:val="nil"/>
              <w:bottom w:val="nil"/>
              <w:right w:val="nil"/>
            </w:tcBorders>
            <w:tcMar>
              <w:top w:w="20" w:type="dxa"/>
              <w:left w:w="20" w:type="dxa"/>
              <w:bottom w:w="20" w:type="dxa"/>
              <w:right w:w="20" w:type="dxa"/>
            </w:tcMar>
          </w:tcPr>
          <w:p w14:paraId="76D583D1">
            <w:pPr>
              <w:wordWrap w:val="0"/>
            </w:pPr>
          </w:p>
        </w:tc>
        <w:tc>
          <w:tcPr>
            <w:tcW w:w="698" w:type="dxa"/>
            <w:tcBorders>
              <w:top w:val="single" w:color="auto" w:sz="6" w:space="0"/>
              <w:left w:val="nil"/>
              <w:bottom w:val="nil"/>
              <w:right w:val="nil"/>
            </w:tcBorders>
            <w:tcMar>
              <w:top w:w="20" w:type="dxa"/>
              <w:left w:w="20" w:type="dxa"/>
              <w:bottom w:w="20" w:type="dxa"/>
              <w:right w:w="20" w:type="dxa"/>
            </w:tcMar>
          </w:tcPr>
          <w:p w14:paraId="0870DFC7">
            <w:pPr>
              <w:wordWrap w:val="0"/>
            </w:pPr>
          </w:p>
        </w:tc>
        <w:tc>
          <w:tcPr>
            <w:tcW w:w="2970" w:type="dxa"/>
            <w:tcBorders>
              <w:top w:val="single" w:color="auto" w:sz="6" w:space="0"/>
              <w:left w:val="nil"/>
              <w:bottom w:val="nil"/>
              <w:right w:val="nil"/>
            </w:tcBorders>
            <w:tcMar>
              <w:top w:w="20" w:type="dxa"/>
              <w:left w:w="20" w:type="dxa"/>
              <w:bottom w:w="20" w:type="dxa"/>
              <w:right w:w="20" w:type="dxa"/>
            </w:tcMar>
          </w:tcPr>
          <w:p w14:paraId="61541AC9">
            <w:pPr>
              <w:wordWrap w:val="0"/>
            </w:pPr>
          </w:p>
        </w:tc>
      </w:tr>
    </w:tbl>
    <w:p w14:paraId="4EA90627">
      <w:pPr>
        <w:spacing w:before="0" w:after="0" w:line="195" w:lineRule="exact"/>
      </w:pPr>
    </w:p>
    <w:p w14:paraId="4A673AA0">
      <w:pPr>
        <w:wordWrap w:val="0"/>
        <w:spacing w:after="0" w:line="503" w:lineRule="exact"/>
        <w:jc w:val="left"/>
        <w:outlineLvl w:val="1"/>
      </w:pPr>
      <w:r>
        <w:rPr>
          <w:rFonts w:ascii="宋体" w:hAnsi="宋体" w:eastAsia="宋体" w:cs="宋体"/>
          <w:b/>
          <w:color w:val="000000"/>
          <w:sz w:val="28"/>
        </w:rPr>
        <w:t>二、技术参数（标准）</w:t>
      </w:r>
    </w:p>
    <w:p w14:paraId="2B451AEF">
      <w:pPr>
        <w:wordWrap w:val="0"/>
        <w:spacing w:after="0" w:line="378" w:lineRule="exact"/>
        <w:ind w:firstLine="420" w:firstLineChars="200"/>
        <w:jc w:val="left"/>
      </w:pPr>
      <w:r>
        <w:rPr>
          <w:rFonts w:ascii="宋体" w:hAnsi="宋体" w:eastAsia="宋体" w:cs="宋体"/>
          <w:color w:val="000000"/>
          <w:sz w:val="21"/>
        </w:rPr>
        <w:t>依托该公司自主研发的“中国高等学校发展指数数据库（CHDID）”，提供涵盖办学条件、学科建设、科研平台、科研奖励、成果转化、专业建设、毕业生校友、教育捐赠、国际化办学、社会影响等各方面反映高校办学质量的核心发展指标数据。</w:t>
      </w:r>
    </w:p>
    <w:p w14:paraId="0C94DF47">
      <w:pPr>
        <w:wordWrap w:val="0"/>
        <w:spacing w:after="0" w:line="503" w:lineRule="exact"/>
        <w:jc w:val="left"/>
        <w:outlineLvl w:val="1"/>
      </w:pPr>
      <w:r>
        <w:rPr>
          <w:rFonts w:ascii="宋体" w:hAnsi="宋体" w:eastAsia="宋体" w:cs="宋体"/>
          <w:b/>
          <w:color w:val="000000"/>
          <w:sz w:val="28"/>
        </w:rPr>
        <w:t>三、服务承诺</w:t>
      </w:r>
    </w:p>
    <w:p w14:paraId="1F9357DE">
      <w:pPr>
        <w:wordWrap w:val="0"/>
        <w:spacing w:after="0" w:line="378" w:lineRule="exact"/>
        <w:ind w:firstLine="420" w:firstLineChars="200"/>
        <w:jc w:val="left"/>
      </w:pPr>
      <w:r>
        <w:rPr>
          <w:rFonts w:ascii="宋体" w:hAnsi="宋体" w:eastAsia="宋体" w:cs="宋体"/>
          <w:color w:val="000000"/>
          <w:sz w:val="21"/>
        </w:rPr>
        <w:t>结合湖州师范学院发展核心指标的量化分析，提出提升学校办学质量的对策及发展战略建议。</w:t>
      </w:r>
    </w:p>
    <w:p w14:paraId="42AAF410">
      <w:pPr>
        <w:wordWrap w:val="0"/>
        <w:spacing w:after="0" w:line="503" w:lineRule="exact"/>
        <w:jc w:val="left"/>
        <w:outlineLvl w:val="1"/>
      </w:pPr>
      <w:r>
        <w:rPr>
          <w:rFonts w:ascii="宋体" w:hAnsi="宋体" w:eastAsia="宋体" w:cs="宋体"/>
          <w:b/>
          <w:color w:val="000000"/>
          <w:sz w:val="28"/>
        </w:rPr>
        <w:t>四、验收标准</w:t>
      </w:r>
    </w:p>
    <w:p w14:paraId="0913299F">
      <w:pPr>
        <w:wordWrap w:val="0"/>
        <w:spacing w:after="0" w:line="378" w:lineRule="exact"/>
        <w:ind w:firstLine="420" w:firstLineChars="200"/>
        <w:jc w:val="left"/>
      </w:pPr>
      <w:r>
        <w:rPr>
          <w:rFonts w:ascii="宋体" w:hAnsi="宋体" w:eastAsia="宋体" w:cs="宋体"/>
          <w:color w:val="000000"/>
          <w:sz w:val="21"/>
        </w:rPr>
        <w:t>每年度提供书面/电子版评价咨询报告或现场专家咨询报告，内容涵盖湖州师范学院办学定位、教育教学、师资队伍、学科专业、科学研究、社会声誉和国际影响等核心指标内容。</w:t>
      </w:r>
    </w:p>
    <w:p w14:paraId="4C897CBB">
      <w:pPr>
        <w:wordWrap w:val="0"/>
        <w:spacing w:after="0" w:line="503" w:lineRule="exact"/>
        <w:jc w:val="left"/>
        <w:outlineLvl w:val="1"/>
      </w:pPr>
      <w:r>
        <w:rPr>
          <w:rFonts w:ascii="宋体" w:hAnsi="宋体" w:eastAsia="宋体" w:cs="宋体"/>
          <w:b/>
          <w:color w:val="000000"/>
          <w:sz w:val="28"/>
        </w:rPr>
        <w:t>五、履约保证金</w:t>
      </w:r>
    </w:p>
    <w:p w14:paraId="5E9869C8">
      <w:pPr>
        <w:wordWrap w:val="0"/>
        <w:spacing w:after="0" w:line="378" w:lineRule="exact"/>
        <w:ind w:firstLine="420" w:firstLineChars="200"/>
        <w:jc w:val="left"/>
      </w:pPr>
      <w:r>
        <w:rPr>
          <w:rFonts w:ascii="宋体" w:hAnsi="宋体" w:eastAsia="宋体" w:cs="宋体"/>
          <w:color w:val="000000"/>
          <w:sz w:val="21"/>
        </w:rPr>
        <w:t xml:space="preserve">本项目不需要缴纳履约保证金。 </w:t>
      </w:r>
    </w:p>
    <w:p w14:paraId="4E2B6673">
      <w:pPr>
        <w:wordWrap w:val="0"/>
        <w:spacing w:after="0" w:line="503" w:lineRule="exact"/>
        <w:jc w:val="left"/>
        <w:outlineLvl w:val="1"/>
      </w:pPr>
      <w:r>
        <w:rPr>
          <w:rFonts w:ascii="宋体" w:hAnsi="宋体" w:eastAsia="宋体" w:cs="宋体"/>
          <w:b/>
          <w:color w:val="000000"/>
          <w:sz w:val="28"/>
        </w:rPr>
        <w:t>六、付款方式</w:t>
      </w:r>
    </w:p>
    <w:p w14:paraId="69066C13">
      <w:pPr>
        <w:wordWrap w:val="0"/>
        <w:spacing w:after="0" w:line="378" w:lineRule="exact"/>
        <w:ind w:firstLineChars="200"/>
        <w:jc w:val="left"/>
      </w:pPr>
      <w:r>
        <w:rPr>
          <w:rFonts w:ascii="宋体" w:hAnsi="宋体" w:eastAsia="宋体" w:cs="宋体"/>
          <w:color w:val="000000"/>
          <w:sz w:val="21"/>
        </w:rPr>
        <w:t>按照合同要求每年完成相关服务，提供书面/电子版评价咨询报告或现场专家咨询报告并经甲方发展规划处验收合格、乙方提供的有效增值税专用发票，甲方按年度支付费用。</w:t>
      </w:r>
    </w:p>
    <w:p w14:paraId="3C684D53">
      <w:pPr>
        <w:wordWrap w:val="0"/>
        <w:spacing w:after="0" w:line="503" w:lineRule="exact"/>
        <w:jc w:val="left"/>
        <w:outlineLvl w:val="1"/>
      </w:pPr>
      <w:r>
        <w:rPr>
          <w:rFonts w:ascii="宋体" w:hAnsi="宋体" w:eastAsia="宋体" w:cs="宋体"/>
          <w:b/>
          <w:color w:val="000000"/>
          <w:sz w:val="28"/>
        </w:rPr>
        <w:t>七、其他要求</w:t>
      </w:r>
    </w:p>
    <w:p w14:paraId="1E9DA0DD">
      <w:pPr>
        <w:wordWrap w:val="0"/>
        <w:spacing w:after="0" w:line="378" w:lineRule="exact"/>
        <w:jc w:val="left"/>
      </w:pPr>
      <w:r>
        <w:rPr>
          <w:rFonts w:ascii="宋体" w:hAnsi="宋体" w:eastAsia="宋体" w:cs="宋体"/>
          <w:color w:val="000000"/>
          <w:sz w:val="21"/>
        </w:rPr>
        <w:t>无。</w:t>
      </w:r>
    </w:p>
    <w:p w14:paraId="00345FE9">
      <w:pPr>
        <w:sectPr>
          <w:pgSz w:w="11907" w:h="16839"/>
          <w:pgMar w:top="1077" w:right="1154" w:bottom="1077" w:left="1154" w:header="720" w:footer="720" w:gutter="0"/>
          <w:cols w:space="720" w:num="1"/>
        </w:sectPr>
      </w:pPr>
    </w:p>
    <w:p w14:paraId="332942AF">
      <w:pPr>
        <w:wordWrap w:val="0"/>
        <w:spacing w:before="75" w:after="75"/>
        <w:jc w:val="center"/>
        <w:outlineLvl w:val="0"/>
      </w:pPr>
      <w:r>
        <w:rPr>
          <w:rFonts w:ascii="宋体" w:hAnsi="宋体" w:eastAsia="宋体" w:cs="宋体"/>
          <w:b/>
          <w:color w:val="000000"/>
          <w:sz w:val="40"/>
        </w:rPr>
        <w:t>第四部分 拟签订的合同文本</w:t>
      </w:r>
    </w:p>
    <w:p w14:paraId="40F810A4">
      <w:pPr>
        <w:spacing w:before="0" w:after="0" w:line="210" w:lineRule="exact"/>
      </w:pPr>
    </w:p>
    <w:p w14:paraId="6420F89B">
      <w:pPr>
        <w:sectPr>
          <w:pgSz w:w="11907" w:h="16839"/>
          <w:pgMar w:top="1077" w:right="1154" w:bottom="1077" w:left="1154" w:header="720" w:footer="720" w:gutter="0"/>
          <w:cols w:space="720" w:num="1"/>
        </w:sectPr>
      </w:pPr>
    </w:p>
    <w:p w14:paraId="1605D20B">
      <w:pPr>
        <w:wordWrap w:val="0"/>
        <w:spacing w:before="75" w:after="75"/>
        <w:jc w:val="center"/>
        <w:outlineLvl w:val="0"/>
      </w:pPr>
      <w:r>
        <w:rPr>
          <w:rFonts w:ascii="宋体" w:hAnsi="宋体" w:eastAsia="宋体" w:cs="宋体"/>
          <w:b/>
          <w:color w:val="000000"/>
          <w:sz w:val="40"/>
        </w:rPr>
        <w:t>第五部分 响应文件格式及附件</w:t>
      </w:r>
    </w:p>
    <w:p w14:paraId="46D8CAD8">
      <w:pPr>
        <w:wordWrap w:val="0"/>
        <w:spacing w:after="0" w:line="378" w:lineRule="exact"/>
        <w:ind w:firstLineChars="200"/>
        <w:jc w:val="left"/>
      </w:pPr>
      <w:r>
        <w:rPr>
          <w:rFonts w:ascii="宋体" w:hAnsi="宋体" w:eastAsia="宋体" w:cs="宋体"/>
          <w:color w:val="000000"/>
          <w:sz w:val="21"/>
        </w:rPr>
        <w:t>1、响应文件的编制应按照“第二部分 供应商须知 三、响应文件的编制”的要求编制。</w:t>
      </w:r>
    </w:p>
    <w:p w14:paraId="3C8ADC7D">
      <w:pPr>
        <w:wordWrap w:val="0"/>
        <w:spacing w:before="0" w:after="0" w:line="378" w:lineRule="exact"/>
        <w:ind w:firstLineChars="200"/>
        <w:jc w:val="left"/>
      </w:pPr>
      <w:r>
        <w:rPr>
          <w:rFonts w:ascii="宋体" w:hAnsi="宋体" w:eastAsia="宋体" w:cs="宋体"/>
          <w:color w:val="000000"/>
          <w:sz w:val="21"/>
        </w:rPr>
        <w:t>2、响应文件相应材料请按附件样式进行填写，如附件无明确规定的，由供应商自行编制。</w:t>
      </w:r>
    </w:p>
    <w:p w14:paraId="1B8FFA3E">
      <w:pPr>
        <w:wordWrap w:val="0"/>
        <w:spacing w:before="243" w:after="243"/>
        <w:jc w:val="center"/>
      </w:pPr>
      <w:r>
        <w:rPr>
          <w:rFonts w:ascii="宋体" w:hAnsi="宋体" w:eastAsia="宋体" w:cs="宋体"/>
          <w:b/>
          <w:color w:val="000000"/>
          <w:sz w:val="28"/>
        </w:rPr>
        <w:t>目  录</w:t>
      </w:r>
    </w:p>
    <w:p w14:paraId="0DADAD33">
      <w:pPr>
        <w:wordWrap w:val="0"/>
        <w:spacing w:after="0" w:line="378" w:lineRule="exact"/>
        <w:ind w:firstLineChars="200"/>
        <w:jc w:val="left"/>
      </w:pPr>
      <w:r>
        <w:rPr>
          <w:rFonts w:ascii="宋体" w:hAnsi="宋体" w:eastAsia="宋体" w:cs="宋体"/>
          <w:color w:val="000000"/>
          <w:sz w:val="21"/>
        </w:rPr>
        <w:t>附件一：谈判声明函</w:t>
      </w:r>
    </w:p>
    <w:p w14:paraId="213FF3D3">
      <w:pPr>
        <w:wordWrap w:val="0"/>
        <w:spacing w:before="0" w:after="0" w:line="378" w:lineRule="exact"/>
        <w:ind w:firstLineChars="200"/>
        <w:jc w:val="left"/>
      </w:pPr>
      <w:r>
        <w:rPr>
          <w:rFonts w:ascii="宋体" w:hAnsi="宋体" w:eastAsia="宋体" w:cs="宋体"/>
          <w:color w:val="000000"/>
          <w:sz w:val="21"/>
        </w:rPr>
        <w:t>附件二：授权委托书或法定代表人（单位负责人、自然人本人）身份证明</w:t>
      </w:r>
    </w:p>
    <w:p w14:paraId="181C4912">
      <w:pPr>
        <w:wordWrap w:val="0"/>
        <w:spacing w:before="0" w:after="0" w:line="378" w:lineRule="exact"/>
        <w:ind w:firstLineChars="200"/>
        <w:jc w:val="left"/>
      </w:pPr>
      <w:r>
        <w:rPr>
          <w:rFonts w:ascii="宋体" w:hAnsi="宋体" w:eastAsia="宋体" w:cs="宋体"/>
          <w:color w:val="000000"/>
          <w:sz w:val="21"/>
        </w:rPr>
        <w:t>附件三：报价表</w:t>
      </w:r>
    </w:p>
    <w:p w14:paraId="5785613C">
      <w:pPr>
        <w:wordWrap w:val="0"/>
        <w:spacing w:before="0" w:after="0" w:line="378" w:lineRule="exact"/>
        <w:ind w:firstLineChars="200"/>
        <w:jc w:val="left"/>
      </w:pPr>
      <w:r>
        <w:rPr>
          <w:rFonts w:ascii="宋体" w:hAnsi="宋体" w:eastAsia="宋体" w:cs="宋体"/>
          <w:color w:val="000000"/>
          <w:sz w:val="21"/>
        </w:rPr>
        <w:t>附件四：资格证明材料</w:t>
      </w:r>
    </w:p>
    <w:p w14:paraId="323CDFBA">
      <w:pPr>
        <w:wordWrap w:val="0"/>
        <w:spacing w:before="0" w:after="0" w:line="378" w:lineRule="exact"/>
        <w:jc w:val="left"/>
      </w:pPr>
    </w:p>
    <w:p w14:paraId="709BEC24">
      <w:pPr>
        <w:sectPr>
          <w:pgSz w:w="11907" w:h="16839"/>
          <w:pgMar w:top="1077" w:right="1154" w:bottom="1077" w:left="1154" w:header="720" w:footer="720" w:gutter="0"/>
          <w:cols w:space="720" w:num="1"/>
        </w:sectPr>
      </w:pPr>
    </w:p>
    <w:p w14:paraId="198CE908">
      <w:pPr>
        <w:wordWrap w:val="0"/>
        <w:spacing w:after="0" w:line="378" w:lineRule="exact"/>
        <w:jc w:val="left"/>
        <w:outlineLvl w:val="1"/>
      </w:pPr>
      <w:r>
        <w:rPr>
          <w:rFonts w:ascii="宋体" w:hAnsi="宋体" w:eastAsia="宋体" w:cs="宋体"/>
          <w:b/>
          <w:color w:val="000000"/>
          <w:sz w:val="21"/>
        </w:rPr>
        <w:t>附件一： 谈判声明函</w:t>
      </w:r>
    </w:p>
    <w:p w14:paraId="34BC2A84">
      <w:pPr>
        <w:spacing w:before="0" w:after="0" w:line="165" w:lineRule="exact"/>
      </w:pPr>
    </w:p>
    <w:p w14:paraId="15737654">
      <w:pPr>
        <w:wordWrap w:val="0"/>
        <w:spacing w:before="6" w:after="6"/>
        <w:jc w:val="left"/>
      </w:pPr>
      <w:r>
        <w:rPr>
          <w:rFonts w:ascii="宋体" w:hAnsi="宋体" w:eastAsia="宋体" w:cs="宋体"/>
          <w:color w:val="000000"/>
          <w:sz w:val="21"/>
        </w:rPr>
        <w:t>湖州师范学院采购中心：</w:t>
      </w:r>
    </w:p>
    <w:p w14:paraId="1C9CAB2D">
      <w:pPr>
        <w:wordWrap w:val="0"/>
        <w:spacing w:after="0" w:line="378" w:lineRule="exact"/>
        <w:ind w:firstLineChars="200"/>
        <w:jc w:val="left"/>
      </w:pPr>
      <w:r>
        <w:rPr>
          <w:rFonts w:ascii="宋体" w:hAnsi="宋体" w:eastAsia="宋体" w:cs="宋体"/>
          <w:color w:val="000000"/>
          <w:sz w:val="21"/>
          <w:u w:val="single"/>
        </w:rPr>
        <w:t xml:space="preserve">                       </w:t>
      </w:r>
      <w:r>
        <w:rPr>
          <w:rFonts w:ascii="宋体" w:hAnsi="宋体" w:eastAsia="宋体" w:cs="宋体"/>
          <w:color w:val="000000"/>
          <w:sz w:val="21"/>
        </w:rPr>
        <w:t>(谈判供应商全称)授权</w:t>
      </w:r>
      <w:r>
        <w:rPr>
          <w:rFonts w:ascii="宋体" w:hAnsi="宋体" w:eastAsia="宋体" w:cs="宋体"/>
          <w:color w:val="000000"/>
          <w:sz w:val="21"/>
          <w:u w:val="single"/>
        </w:rPr>
        <w:t xml:space="preserve">                </w:t>
      </w:r>
      <w:r>
        <w:rPr>
          <w:rFonts w:ascii="宋体" w:hAnsi="宋体" w:eastAsia="宋体" w:cs="宋体"/>
          <w:color w:val="000000"/>
          <w:sz w:val="21"/>
        </w:rPr>
        <w:t>(全权代表姓名)</w:t>
      </w:r>
      <w:r>
        <w:rPr>
          <w:rFonts w:ascii="宋体" w:hAnsi="宋体" w:eastAsia="宋体" w:cs="宋体"/>
          <w:color w:val="000000"/>
          <w:sz w:val="21"/>
          <w:u w:val="single"/>
        </w:rPr>
        <w:t xml:space="preserve">          </w:t>
      </w:r>
      <w:r>
        <w:rPr>
          <w:rFonts w:ascii="宋体" w:hAnsi="宋体" w:eastAsia="宋体" w:cs="宋体"/>
          <w:color w:val="000000"/>
          <w:sz w:val="21"/>
        </w:rPr>
        <w:t>(职务、职称)为全权代表，参加贵方组织的</w:t>
      </w:r>
      <w:r>
        <w:rPr>
          <w:rFonts w:ascii="宋体" w:hAnsi="宋体" w:eastAsia="宋体" w:cs="宋体"/>
          <w:color w:val="000000"/>
          <w:sz w:val="21"/>
          <w:u w:val="single"/>
        </w:rPr>
        <w:t>发展规划处关于学校办学质量与发展战略评价采购项目</w:t>
      </w:r>
      <w:r>
        <w:rPr>
          <w:rFonts w:ascii="宋体" w:hAnsi="宋体" w:eastAsia="宋体" w:cs="宋体"/>
          <w:color w:val="000000"/>
          <w:sz w:val="21"/>
        </w:rPr>
        <w:t>项目 (项目编号：ZJHU20251017053)采购的有关活动，并对此项目进行谈判响应。为此：</w:t>
      </w:r>
    </w:p>
    <w:p w14:paraId="0F43B1CB">
      <w:pPr>
        <w:wordWrap w:val="0"/>
        <w:spacing w:before="0" w:after="0" w:line="378" w:lineRule="exact"/>
        <w:ind w:firstLineChars="200"/>
        <w:jc w:val="left"/>
      </w:pPr>
      <w:r>
        <w:rPr>
          <w:rFonts w:ascii="宋体" w:hAnsi="宋体" w:eastAsia="宋体" w:cs="宋体"/>
          <w:color w:val="000000"/>
          <w:sz w:val="21"/>
        </w:rPr>
        <w:t>1、我方同意在谈判供应商编制和提交采购响应文件须知规定的开标日期起遵守本谈判响应书中的承诺且在谈判响应有效期满之前均具有约束力。</w:t>
      </w:r>
    </w:p>
    <w:p w14:paraId="5E737ACB">
      <w:pPr>
        <w:wordWrap w:val="0"/>
        <w:spacing w:before="0" w:after="0" w:line="378" w:lineRule="exact"/>
        <w:ind w:firstLineChars="200"/>
        <w:jc w:val="left"/>
      </w:pPr>
      <w:r>
        <w:rPr>
          <w:rFonts w:ascii="宋体" w:hAnsi="宋体" w:eastAsia="宋体" w:cs="宋体"/>
          <w:color w:val="000000"/>
          <w:sz w:val="21"/>
        </w:rPr>
        <w:t>2、我方承诺已经具备《中华人民共和国政府采购法》中规定的参加政府采购活动的供应商应当具备的条件：</w:t>
      </w:r>
    </w:p>
    <w:p w14:paraId="2BE1FB6C">
      <w:pPr>
        <w:wordWrap w:val="0"/>
        <w:spacing w:before="0" w:after="0" w:line="378" w:lineRule="exact"/>
        <w:ind w:firstLineChars="200"/>
        <w:jc w:val="left"/>
      </w:pPr>
      <w:r>
        <w:rPr>
          <w:rFonts w:ascii="宋体" w:hAnsi="宋体" w:eastAsia="宋体" w:cs="宋体"/>
          <w:color w:val="000000"/>
          <w:sz w:val="21"/>
        </w:rPr>
        <w:t>（1）具有独立承担民事责任的能力；</w:t>
      </w:r>
    </w:p>
    <w:p w14:paraId="31644FEB">
      <w:pPr>
        <w:wordWrap w:val="0"/>
        <w:spacing w:before="0" w:after="0" w:line="378" w:lineRule="exact"/>
        <w:ind w:firstLineChars="200"/>
        <w:jc w:val="left"/>
      </w:pPr>
      <w:r>
        <w:rPr>
          <w:rFonts w:ascii="宋体" w:hAnsi="宋体" w:eastAsia="宋体" w:cs="宋体"/>
          <w:color w:val="000000"/>
          <w:sz w:val="21"/>
        </w:rPr>
        <w:t>（2）遵守国家法律、行政法规，具有良好的信誉和商业道德；</w:t>
      </w:r>
    </w:p>
    <w:p w14:paraId="79BDB32E">
      <w:pPr>
        <w:wordWrap w:val="0"/>
        <w:spacing w:before="0" w:after="0" w:line="378" w:lineRule="exact"/>
        <w:ind w:firstLineChars="200"/>
        <w:jc w:val="left"/>
      </w:pPr>
      <w:r>
        <w:rPr>
          <w:rFonts w:ascii="宋体" w:hAnsi="宋体" w:eastAsia="宋体" w:cs="宋体"/>
          <w:color w:val="000000"/>
          <w:sz w:val="21"/>
        </w:rPr>
        <w:t>（3）具有履行合同的能力和良好的履行合同记录；</w:t>
      </w:r>
    </w:p>
    <w:p w14:paraId="2C37A894">
      <w:pPr>
        <w:wordWrap w:val="0"/>
        <w:spacing w:before="0" w:after="0" w:line="378" w:lineRule="exact"/>
        <w:ind w:firstLineChars="200"/>
        <w:jc w:val="left"/>
      </w:pPr>
      <w:r>
        <w:rPr>
          <w:rFonts w:ascii="宋体" w:hAnsi="宋体" w:eastAsia="宋体" w:cs="宋体"/>
          <w:color w:val="000000"/>
          <w:sz w:val="21"/>
        </w:rPr>
        <w:t>（4）良好的资金、财务状况；</w:t>
      </w:r>
    </w:p>
    <w:p w14:paraId="230007F3">
      <w:pPr>
        <w:wordWrap w:val="0"/>
        <w:spacing w:before="0" w:after="0" w:line="378" w:lineRule="exact"/>
        <w:ind w:firstLineChars="200"/>
        <w:jc w:val="left"/>
      </w:pPr>
      <w:r>
        <w:rPr>
          <w:rFonts w:ascii="宋体" w:hAnsi="宋体" w:eastAsia="宋体" w:cs="宋体"/>
          <w:color w:val="000000"/>
          <w:sz w:val="21"/>
        </w:rPr>
        <w:t>（5）管理及所需装备符合中国政府规定的相应技术标准和环保标准；</w:t>
      </w:r>
    </w:p>
    <w:p w14:paraId="3227BE5D">
      <w:pPr>
        <w:wordWrap w:val="0"/>
        <w:spacing w:before="0" w:after="0" w:line="378" w:lineRule="exact"/>
        <w:ind w:firstLineChars="200"/>
        <w:jc w:val="left"/>
      </w:pPr>
      <w:r>
        <w:rPr>
          <w:rFonts w:ascii="宋体" w:hAnsi="宋体" w:eastAsia="宋体" w:cs="宋体"/>
          <w:color w:val="000000"/>
          <w:sz w:val="21"/>
        </w:rPr>
        <w:t>（6）没有违反政府采购法规、政策的记录；</w:t>
      </w:r>
    </w:p>
    <w:p w14:paraId="520CC4F0">
      <w:pPr>
        <w:wordWrap w:val="0"/>
        <w:spacing w:before="0" w:after="0" w:line="378" w:lineRule="exact"/>
        <w:ind w:firstLineChars="200"/>
        <w:jc w:val="left"/>
      </w:pPr>
      <w:r>
        <w:rPr>
          <w:rFonts w:ascii="宋体" w:hAnsi="宋体" w:eastAsia="宋体" w:cs="宋体"/>
          <w:color w:val="000000"/>
          <w:sz w:val="21"/>
        </w:rPr>
        <w:t>（7）没有发生重大经济纠纷和走私犯罪记录；</w:t>
      </w:r>
    </w:p>
    <w:p w14:paraId="169AFE4B">
      <w:pPr>
        <w:wordWrap w:val="0"/>
        <w:spacing w:after="0" w:line="378" w:lineRule="exact"/>
        <w:ind w:firstLineChars="200"/>
        <w:jc w:val="left"/>
      </w:pPr>
      <w:r>
        <w:rPr>
          <w:rFonts w:ascii="宋体" w:hAnsi="宋体" w:eastAsia="宋体" w:cs="宋体"/>
          <w:color w:val="000000"/>
          <w:sz w:val="21"/>
        </w:rPr>
        <w:t>3、提供编制和提交采购响应文件须知规定的全部谈判响应文件，包括谈判响应文件正本1份，副本1份。具体内容为：</w:t>
      </w:r>
    </w:p>
    <w:p w14:paraId="03FE0B04">
      <w:pPr>
        <w:wordWrap w:val="0"/>
        <w:spacing w:before="0" w:after="0" w:line="378" w:lineRule="exact"/>
        <w:ind w:firstLineChars="200"/>
        <w:jc w:val="left"/>
      </w:pPr>
      <w:r>
        <w:rPr>
          <w:rFonts w:ascii="宋体" w:hAnsi="宋体" w:eastAsia="宋体" w:cs="宋体"/>
          <w:color w:val="000000"/>
          <w:sz w:val="21"/>
        </w:rPr>
        <w:t>（1）谈判响应（开标）一览表及谈判响应报价明细清单；</w:t>
      </w:r>
    </w:p>
    <w:p w14:paraId="00E7648D">
      <w:pPr>
        <w:wordWrap w:val="0"/>
        <w:spacing w:before="0" w:after="0" w:line="378" w:lineRule="exact"/>
        <w:ind w:firstLineChars="200"/>
        <w:jc w:val="left"/>
      </w:pPr>
      <w:r>
        <w:rPr>
          <w:rFonts w:ascii="宋体" w:hAnsi="宋体" w:eastAsia="宋体" w:cs="宋体"/>
          <w:color w:val="000000"/>
          <w:sz w:val="21"/>
        </w:rPr>
        <w:t>（2）谈判响应技术文件和商务文件；</w:t>
      </w:r>
    </w:p>
    <w:p w14:paraId="6DB7F0D9">
      <w:pPr>
        <w:wordWrap w:val="0"/>
        <w:spacing w:before="0" w:after="0" w:line="378" w:lineRule="exact"/>
        <w:ind w:firstLineChars="200"/>
        <w:jc w:val="left"/>
      </w:pPr>
      <w:r>
        <w:rPr>
          <w:rFonts w:ascii="宋体" w:hAnsi="宋体" w:eastAsia="宋体" w:cs="宋体"/>
          <w:color w:val="000000"/>
          <w:sz w:val="21"/>
        </w:rPr>
        <w:t>（3）编制和提交采购响应文件须知要求谈判供应商提交的全部文件；</w:t>
      </w:r>
    </w:p>
    <w:p w14:paraId="712B6377">
      <w:pPr>
        <w:wordWrap w:val="0"/>
        <w:spacing w:before="0" w:after="0" w:line="378" w:lineRule="exact"/>
        <w:ind w:firstLineChars="200"/>
        <w:jc w:val="left"/>
      </w:pPr>
      <w:r>
        <w:rPr>
          <w:rFonts w:ascii="宋体" w:hAnsi="宋体" w:eastAsia="宋体" w:cs="宋体"/>
          <w:color w:val="000000"/>
          <w:sz w:val="21"/>
        </w:rPr>
        <w:t>4、按采购文件要求提供和交付的网络和服务的谈判响应报价详见开标一览表。</w:t>
      </w:r>
    </w:p>
    <w:p w14:paraId="5DF8420A">
      <w:pPr>
        <w:wordWrap w:val="0"/>
        <w:spacing w:before="0" w:after="0" w:line="378" w:lineRule="exact"/>
        <w:ind w:firstLineChars="200"/>
        <w:jc w:val="left"/>
      </w:pPr>
      <w:r>
        <w:rPr>
          <w:rFonts w:ascii="宋体" w:hAnsi="宋体" w:eastAsia="宋体" w:cs="宋体"/>
          <w:color w:val="000000"/>
          <w:sz w:val="21"/>
        </w:rPr>
        <w:t>5、保证忠实地执行双方所签订的合同，并承担合同规定的责任和义务。</w:t>
      </w:r>
    </w:p>
    <w:p w14:paraId="34A4434F">
      <w:pPr>
        <w:wordWrap w:val="0"/>
        <w:spacing w:before="0" w:after="0" w:line="378" w:lineRule="exact"/>
        <w:ind w:firstLineChars="200"/>
        <w:jc w:val="left"/>
      </w:pPr>
      <w:r>
        <w:rPr>
          <w:rFonts w:ascii="宋体" w:hAnsi="宋体" w:eastAsia="宋体" w:cs="宋体"/>
          <w:color w:val="000000"/>
          <w:sz w:val="21"/>
        </w:rPr>
        <w:t>6、保证遵守采购文件中的其他有关规定。</w:t>
      </w:r>
    </w:p>
    <w:p w14:paraId="3132A519">
      <w:pPr>
        <w:wordWrap w:val="0"/>
        <w:spacing w:before="0" w:after="0" w:line="378" w:lineRule="exact"/>
        <w:ind w:firstLineChars="200"/>
        <w:jc w:val="left"/>
      </w:pPr>
      <w:r>
        <w:rPr>
          <w:rFonts w:ascii="宋体" w:hAnsi="宋体" w:eastAsia="宋体" w:cs="宋体"/>
          <w:color w:val="000000"/>
          <w:sz w:val="21"/>
        </w:rPr>
        <w:t>7、如果在开标后规定的谈判响应有效期内撤回谈判响应，我方的谈判响应保证金可被贵方没收。</w:t>
      </w:r>
    </w:p>
    <w:p w14:paraId="28181D62">
      <w:pPr>
        <w:wordWrap w:val="0"/>
        <w:spacing w:before="0" w:after="0" w:line="378" w:lineRule="exact"/>
        <w:ind w:firstLineChars="200"/>
        <w:jc w:val="left"/>
      </w:pPr>
      <w:r>
        <w:rPr>
          <w:rFonts w:ascii="宋体" w:hAnsi="宋体" w:eastAsia="宋体" w:cs="宋体"/>
          <w:color w:val="000000"/>
          <w:sz w:val="21"/>
        </w:rPr>
        <w:t>8、我方完全理解贵方不一定要接受最低价的谈判响应。</w:t>
      </w:r>
    </w:p>
    <w:p w14:paraId="20A3CE9E">
      <w:pPr>
        <w:wordWrap w:val="0"/>
        <w:spacing w:before="0" w:after="0" w:line="378" w:lineRule="exact"/>
        <w:ind w:firstLineChars="200"/>
        <w:jc w:val="left"/>
      </w:pPr>
      <w:r>
        <w:rPr>
          <w:rFonts w:ascii="宋体" w:hAnsi="宋体" w:eastAsia="宋体" w:cs="宋体"/>
          <w:color w:val="000000"/>
          <w:sz w:val="21"/>
        </w:rPr>
        <w:t>9、我方愿意向贵方提供任何与该项谈判响应有关的数据、情况和技术资料。若贵方需要，我方愿意提供我方作出的一切承诺的证明材料。</w:t>
      </w:r>
    </w:p>
    <w:p w14:paraId="40E59F52">
      <w:pPr>
        <w:wordWrap w:val="0"/>
        <w:spacing w:after="0" w:line="378" w:lineRule="exact"/>
        <w:ind w:firstLineChars="200"/>
        <w:jc w:val="left"/>
      </w:pPr>
      <w:r>
        <w:rPr>
          <w:rFonts w:ascii="宋体" w:hAnsi="宋体" w:eastAsia="宋体" w:cs="宋体"/>
          <w:color w:val="000000"/>
          <w:sz w:val="21"/>
        </w:rPr>
        <w:t>10、我方已详细审核全部采购文件，包括采购文件修改书（如果有）、参考资料及有关附件，确认无误。</w:t>
      </w:r>
    </w:p>
    <w:p w14:paraId="5474276B">
      <w:pPr>
        <w:wordWrap w:val="0"/>
        <w:spacing w:before="0" w:after="0" w:line="378" w:lineRule="exact"/>
        <w:ind w:firstLineChars="200"/>
        <w:jc w:val="left"/>
      </w:pPr>
      <w:r>
        <w:rPr>
          <w:rFonts w:ascii="宋体" w:hAnsi="宋体" w:eastAsia="宋体" w:cs="宋体"/>
          <w:color w:val="000000"/>
          <w:sz w:val="21"/>
        </w:rPr>
        <w:t>11、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5ABAB4FD">
      <w:pPr>
        <w:wordWrap w:val="0"/>
        <w:spacing w:before="0" w:after="0" w:line="378" w:lineRule="exact"/>
        <w:ind w:firstLineChars="200"/>
        <w:jc w:val="left"/>
      </w:pPr>
      <w:r>
        <w:rPr>
          <w:rFonts w:ascii="宋体" w:hAnsi="宋体" w:eastAsia="宋体" w:cs="宋体"/>
          <w:color w:val="000000"/>
          <w:sz w:val="21"/>
        </w:rPr>
        <w:t>a)提供虚假材料谋取成交、成交的；</w:t>
      </w:r>
    </w:p>
    <w:p w14:paraId="41E3756D">
      <w:pPr>
        <w:wordWrap w:val="0"/>
        <w:spacing w:before="0" w:after="0" w:line="378" w:lineRule="exact"/>
        <w:ind w:firstLineChars="200"/>
        <w:jc w:val="left"/>
      </w:pPr>
      <w:r>
        <w:rPr>
          <w:rFonts w:ascii="宋体" w:hAnsi="宋体" w:eastAsia="宋体" w:cs="宋体"/>
          <w:color w:val="000000"/>
          <w:sz w:val="21"/>
        </w:rPr>
        <w:t>b)采取不正当手段诋毁、排挤其他供应商的；</w:t>
      </w:r>
    </w:p>
    <w:p w14:paraId="5DF9975F">
      <w:pPr>
        <w:wordWrap w:val="0"/>
        <w:spacing w:before="0" w:after="0" w:line="378" w:lineRule="exact"/>
        <w:ind w:firstLineChars="200"/>
        <w:jc w:val="left"/>
      </w:pPr>
      <w:r>
        <w:rPr>
          <w:rFonts w:ascii="宋体" w:hAnsi="宋体" w:eastAsia="宋体" w:cs="宋体"/>
          <w:color w:val="000000"/>
          <w:sz w:val="21"/>
        </w:rPr>
        <w:t>c)与采购单位、其它供应商恶意串通的；</w:t>
      </w:r>
    </w:p>
    <w:p w14:paraId="2D46EB0B">
      <w:pPr>
        <w:wordWrap w:val="0"/>
        <w:spacing w:before="0" w:after="0" w:line="378" w:lineRule="exact"/>
        <w:ind w:firstLineChars="200"/>
        <w:jc w:val="left"/>
      </w:pPr>
      <w:r>
        <w:rPr>
          <w:rFonts w:ascii="宋体" w:hAnsi="宋体" w:eastAsia="宋体" w:cs="宋体"/>
          <w:color w:val="000000"/>
          <w:sz w:val="21"/>
        </w:rPr>
        <w:t>d)向采购单位、采购人行贿或者提供其他不正当利益的；</w:t>
      </w:r>
    </w:p>
    <w:p w14:paraId="77624F2F">
      <w:pPr>
        <w:wordWrap w:val="0"/>
        <w:spacing w:before="0" w:after="0" w:line="378" w:lineRule="exact"/>
        <w:ind w:firstLineChars="200"/>
        <w:jc w:val="left"/>
      </w:pPr>
      <w:r>
        <w:rPr>
          <w:rFonts w:ascii="宋体" w:hAnsi="宋体" w:eastAsia="宋体" w:cs="宋体"/>
          <w:color w:val="000000"/>
          <w:sz w:val="21"/>
        </w:rPr>
        <w:t>e)在招标采购过程中与采购单位进行协商谈判的；</w:t>
      </w:r>
    </w:p>
    <w:p w14:paraId="040313FD">
      <w:pPr>
        <w:wordWrap w:val="0"/>
        <w:spacing w:before="0" w:after="0" w:line="378" w:lineRule="exact"/>
        <w:ind w:firstLineChars="200"/>
        <w:jc w:val="left"/>
      </w:pPr>
      <w:r>
        <w:rPr>
          <w:rFonts w:ascii="宋体" w:hAnsi="宋体" w:eastAsia="宋体" w:cs="宋体"/>
          <w:color w:val="000000"/>
          <w:sz w:val="21"/>
        </w:rPr>
        <w:t>f)拒绝有关部门监督检查或提供虚假情况的。</w:t>
      </w:r>
    </w:p>
    <w:p w14:paraId="5C0790AA">
      <w:pPr>
        <w:spacing w:before="0" w:after="0" w:line="285" w:lineRule="exact"/>
      </w:pPr>
    </w:p>
    <w:p w14:paraId="0494EC19">
      <w:pPr>
        <w:wordWrap w:val="0"/>
        <w:spacing w:after="0" w:line="378" w:lineRule="exact"/>
        <w:ind w:firstLineChars="200"/>
        <w:jc w:val="left"/>
      </w:pPr>
      <w:r>
        <w:rPr>
          <w:rFonts w:ascii="宋体" w:hAnsi="宋体" w:eastAsia="宋体" w:cs="宋体"/>
          <w:color w:val="000000"/>
          <w:sz w:val="21"/>
        </w:rPr>
        <w:t>法定/授权代表（签字或盖章）：</w:t>
      </w:r>
      <w:r>
        <w:rPr>
          <w:rFonts w:ascii="宋体" w:hAnsi="宋体" w:eastAsia="宋体" w:cs="宋体"/>
          <w:color w:val="000000"/>
          <w:sz w:val="21"/>
          <w:u w:val="single"/>
        </w:rPr>
        <w:t xml:space="preserve">                         </w:t>
      </w:r>
    </w:p>
    <w:p w14:paraId="21E0DD12">
      <w:pPr>
        <w:wordWrap w:val="0"/>
        <w:spacing w:before="0" w:after="0" w:line="378" w:lineRule="exact"/>
        <w:ind w:firstLineChars="200"/>
        <w:jc w:val="left"/>
      </w:pPr>
      <w:r>
        <w:rPr>
          <w:rFonts w:ascii="宋体" w:hAnsi="宋体" w:eastAsia="宋体" w:cs="宋体"/>
          <w:color w:val="000000"/>
          <w:sz w:val="21"/>
        </w:rPr>
        <w:t>供应商（全称加盖公章）：</w:t>
      </w:r>
      <w:r>
        <w:rPr>
          <w:rFonts w:ascii="宋体" w:hAnsi="宋体" w:eastAsia="宋体" w:cs="宋体"/>
          <w:color w:val="000000"/>
          <w:sz w:val="21"/>
          <w:u w:val="single"/>
        </w:rPr>
        <w:t xml:space="preserve">                          </w:t>
      </w:r>
    </w:p>
    <w:p w14:paraId="031324F9">
      <w:pPr>
        <w:wordWrap w:val="0"/>
        <w:spacing w:before="0" w:after="0" w:line="378" w:lineRule="exact"/>
        <w:ind w:firstLineChars="200"/>
        <w:jc w:val="left"/>
      </w:pPr>
      <w:r>
        <w:rPr>
          <w:rFonts w:ascii="宋体" w:hAnsi="宋体" w:eastAsia="宋体" w:cs="宋体"/>
          <w:color w:val="000000"/>
          <w:sz w:val="21"/>
        </w:rPr>
        <w:t>联系电话：</w:t>
      </w:r>
      <w:r>
        <w:rPr>
          <w:rFonts w:ascii="宋体" w:hAnsi="宋体" w:eastAsia="宋体" w:cs="宋体"/>
          <w:color w:val="000000"/>
          <w:sz w:val="21"/>
          <w:u w:val="single"/>
        </w:rPr>
        <w:t xml:space="preserve">                   </w:t>
      </w:r>
      <w:r>
        <w:rPr>
          <w:rFonts w:ascii="宋体" w:hAnsi="宋体" w:eastAsia="宋体" w:cs="宋体"/>
          <w:color w:val="000000"/>
          <w:sz w:val="21"/>
        </w:rPr>
        <w:t xml:space="preserve"> 电子邮件：</w:t>
      </w:r>
      <w:r>
        <w:rPr>
          <w:rFonts w:ascii="宋体" w:hAnsi="宋体" w:eastAsia="宋体" w:cs="宋体"/>
          <w:color w:val="000000"/>
          <w:sz w:val="21"/>
          <w:u w:val="single"/>
        </w:rPr>
        <w:t xml:space="preserve">            </w:t>
      </w:r>
      <w:r>
        <w:rPr>
          <w:rFonts w:ascii="宋体" w:hAnsi="宋体" w:eastAsia="宋体" w:cs="宋体"/>
          <w:color w:val="000000"/>
          <w:sz w:val="21"/>
        </w:rPr>
        <w:t xml:space="preserve">              </w:t>
      </w:r>
    </w:p>
    <w:p w14:paraId="298DF22B">
      <w:pPr>
        <w:wordWrap w:val="0"/>
        <w:spacing w:before="0" w:after="0" w:line="378" w:lineRule="exact"/>
        <w:ind w:firstLineChars="200"/>
        <w:jc w:val="left"/>
      </w:pPr>
      <w:r>
        <w:rPr>
          <w:rFonts w:ascii="宋体" w:hAnsi="宋体" w:eastAsia="宋体" w:cs="宋体"/>
          <w:color w:val="000000"/>
          <w:sz w:val="21"/>
        </w:rPr>
        <w:t>联系地址：</w:t>
      </w:r>
      <w:r>
        <w:rPr>
          <w:rFonts w:ascii="宋体" w:hAnsi="宋体" w:eastAsia="宋体" w:cs="宋体"/>
          <w:color w:val="000000"/>
          <w:sz w:val="21"/>
          <w:u w:val="single"/>
        </w:rPr>
        <w:t xml:space="preserve">                         </w:t>
      </w:r>
      <w:r>
        <w:rPr>
          <w:rFonts w:ascii="宋体" w:hAnsi="宋体" w:eastAsia="宋体" w:cs="宋体"/>
          <w:color w:val="000000"/>
          <w:sz w:val="21"/>
        </w:rPr>
        <w:t xml:space="preserve"> </w:t>
      </w:r>
    </w:p>
    <w:p w14:paraId="0399FD1A">
      <w:pPr>
        <w:wordWrap w:val="0"/>
        <w:spacing w:before="0" w:after="0" w:line="378" w:lineRule="exact"/>
        <w:ind w:firstLineChars="200"/>
        <w:jc w:val="left"/>
      </w:pPr>
      <w:r>
        <w:rPr>
          <w:rFonts w:ascii="宋体" w:hAnsi="宋体" w:eastAsia="宋体" w:cs="宋体"/>
          <w:color w:val="000000"/>
          <w:sz w:val="21"/>
        </w:rPr>
        <w:t>邮政编码：</w:t>
      </w:r>
      <w:r>
        <w:rPr>
          <w:rFonts w:ascii="宋体" w:hAnsi="宋体" w:eastAsia="宋体" w:cs="宋体"/>
          <w:color w:val="000000"/>
          <w:sz w:val="21"/>
          <w:u w:val="single"/>
        </w:rPr>
        <w:t xml:space="preserve">                   </w:t>
      </w:r>
      <w:r>
        <w:rPr>
          <w:rFonts w:ascii="宋体" w:hAnsi="宋体" w:eastAsia="宋体" w:cs="宋体"/>
          <w:color w:val="000000"/>
          <w:sz w:val="21"/>
        </w:rPr>
        <w:t xml:space="preserve"> 传真号码：</w:t>
      </w:r>
      <w:r>
        <w:rPr>
          <w:rFonts w:ascii="宋体" w:hAnsi="宋体" w:eastAsia="宋体" w:cs="宋体"/>
          <w:color w:val="000000"/>
          <w:sz w:val="21"/>
          <w:u w:val="single"/>
        </w:rPr>
        <w:t xml:space="preserve">            </w:t>
      </w:r>
      <w:r>
        <w:rPr>
          <w:rFonts w:ascii="宋体" w:hAnsi="宋体" w:eastAsia="宋体" w:cs="宋体"/>
          <w:color w:val="000000"/>
          <w:sz w:val="21"/>
        </w:rPr>
        <w:t xml:space="preserve">   </w:t>
      </w:r>
    </w:p>
    <w:p w14:paraId="39520C30">
      <w:pPr>
        <w:wordWrap w:val="0"/>
        <w:spacing w:before="0" w:after="0" w:line="378" w:lineRule="exact"/>
        <w:ind w:firstLineChars="200"/>
        <w:jc w:val="left"/>
      </w:pPr>
      <w:r>
        <w:rPr>
          <w:rFonts w:ascii="宋体" w:hAnsi="宋体" w:eastAsia="宋体" w:cs="宋体"/>
          <w:color w:val="000000"/>
          <w:sz w:val="21"/>
        </w:rPr>
        <w:t>开户银行：</w:t>
      </w:r>
      <w:r>
        <w:rPr>
          <w:rFonts w:ascii="宋体" w:hAnsi="宋体" w:eastAsia="宋体" w:cs="宋体"/>
          <w:color w:val="000000"/>
          <w:sz w:val="21"/>
          <w:u w:val="single"/>
        </w:rPr>
        <w:t xml:space="preserve">                                            </w:t>
      </w:r>
    </w:p>
    <w:p w14:paraId="1D975EDA">
      <w:pPr>
        <w:wordWrap w:val="0"/>
        <w:spacing w:before="0" w:after="0" w:line="378" w:lineRule="exact"/>
        <w:ind w:firstLineChars="200"/>
        <w:jc w:val="left"/>
      </w:pPr>
      <w:r>
        <w:rPr>
          <w:rFonts w:ascii="宋体" w:hAnsi="宋体" w:eastAsia="宋体" w:cs="宋体"/>
          <w:color w:val="000000"/>
          <w:sz w:val="21"/>
        </w:rPr>
        <w:t>银行账号：</w:t>
      </w:r>
      <w:r>
        <w:rPr>
          <w:rFonts w:ascii="宋体" w:hAnsi="宋体" w:eastAsia="宋体" w:cs="宋体"/>
          <w:color w:val="000000"/>
          <w:sz w:val="21"/>
          <w:u w:val="single"/>
        </w:rPr>
        <w:t xml:space="preserve">                                            </w:t>
      </w:r>
    </w:p>
    <w:p w14:paraId="7265CE9F">
      <w:pPr>
        <w:wordWrap w:val="0"/>
        <w:spacing w:before="0" w:after="0" w:line="378" w:lineRule="exact"/>
        <w:ind w:firstLineChars="200"/>
        <w:jc w:val="left"/>
      </w:pPr>
      <w:r>
        <w:rPr>
          <w:rFonts w:ascii="宋体" w:hAnsi="宋体" w:eastAsia="宋体" w:cs="宋体"/>
          <w:color w:val="000000"/>
          <w:sz w:val="21"/>
        </w:rPr>
        <w:t>日    期：</w:t>
      </w:r>
      <w:r>
        <w:rPr>
          <w:rFonts w:ascii="宋体" w:hAnsi="宋体" w:eastAsia="宋体" w:cs="宋体"/>
          <w:color w:val="000000"/>
          <w:sz w:val="21"/>
          <w:u w:val="single"/>
        </w:rPr>
        <w:t xml:space="preserve">        </w:t>
      </w:r>
      <w:r>
        <w:rPr>
          <w:rFonts w:ascii="宋体" w:hAnsi="宋体" w:eastAsia="宋体" w:cs="宋体"/>
          <w:color w:val="000000"/>
          <w:sz w:val="21"/>
        </w:rPr>
        <w:t>年</w:t>
      </w:r>
      <w:r>
        <w:rPr>
          <w:rFonts w:ascii="宋体" w:hAnsi="宋体" w:eastAsia="宋体" w:cs="宋体"/>
          <w:color w:val="000000"/>
          <w:sz w:val="21"/>
          <w:u w:val="single"/>
        </w:rPr>
        <w:t xml:space="preserve">  </w:t>
      </w:r>
      <w:r>
        <w:rPr>
          <w:rFonts w:ascii="宋体" w:hAnsi="宋体" w:eastAsia="宋体" w:cs="宋体"/>
          <w:color w:val="000000"/>
          <w:sz w:val="21"/>
        </w:rPr>
        <w:t>月</w:t>
      </w:r>
      <w:r>
        <w:rPr>
          <w:rFonts w:ascii="宋体" w:hAnsi="宋体" w:eastAsia="宋体" w:cs="宋体"/>
          <w:color w:val="000000"/>
          <w:sz w:val="21"/>
          <w:u w:val="single"/>
        </w:rPr>
        <w:t xml:space="preserve">  </w:t>
      </w:r>
      <w:r>
        <w:rPr>
          <w:rFonts w:ascii="宋体" w:hAnsi="宋体" w:eastAsia="宋体" w:cs="宋体"/>
          <w:color w:val="000000"/>
          <w:sz w:val="21"/>
        </w:rPr>
        <w:t>日</w:t>
      </w:r>
    </w:p>
    <w:p w14:paraId="6E26720F">
      <w:pPr>
        <w:spacing w:before="0" w:after="0" w:line="270" w:lineRule="exact"/>
      </w:pPr>
    </w:p>
    <w:p w14:paraId="31832421">
      <w:pPr>
        <w:sectPr>
          <w:pgSz w:w="11907" w:h="16839"/>
          <w:pgMar w:top="1077" w:right="1154" w:bottom="1077" w:left="1154" w:header="720" w:footer="720" w:gutter="0"/>
          <w:cols w:space="720" w:num="1"/>
        </w:sectPr>
      </w:pPr>
    </w:p>
    <w:p w14:paraId="316E6899">
      <w:pPr>
        <w:wordWrap w:val="0"/>
        <w:spacing w:after="0" w:line="378" w:lineRule="exact"/>
        <w:jc w:val="left"/>
        <w:outlineLvl w:val="1"/>
      </w:pPr>
      <w:r>
        <w:rPr>
          <w:rFonts w:ascii="宋体" w:hAnsi="宋体" w:eastAsia="宋体" w:cs="宋体"/>
          <w:b/>
          <w:color w:val="000000"/>
          <w:sz w:val="21"/>
        </w:rPr>
        <w:t>附件二： 授权委托书或法定代表人（单位负责人、自然人本人）身份证明</w:t>
      </w:r>
    </w:p>
    <w:p w14:paraId="3A88F3C1">
      <w:pPr>
        <w:wordWrap w:val="0"/>
        <w:spacing w:before="175" w:after="175"/>
        <w:jc w:val="center"/>
      </w:pPr>
      <w:r>
        <w:rPr>
          <w:rFonts w:ascii="宋体" w:hAnsi="宋体" w:eastAsia="宋体" w:cs="宋体"/>
          <w:b/>
          <w:color w:val="000000"/>
          <w:sz w:val="28"/>
        </w:rPr>
        <w:t>授权委托书</w:t>
      </w:r>
    </w:p>
    <w:p w14:paraId="1BA3EBDE">
      <w:pPr>
        <w:spacing w:before="0" w:after="0" w:line="165" w:lineRule="exact"/>
      </w:pPr>
    </w:p>
    <w:p w14:paraId="3C1B66D9">
      <w:pPr>
        <w:wordWrap w:val="0"/>
        <w:spacing w:before="6" w:after="6"/>
        <w:jc w:val="left"/>
      </w:pPr>
      <w:r>
        <w:rPr>
          <w:rFonts w:ascii="宋体" w:hAnsi="宋体" w:eastAsia="宋体" w:cs="宋体"/>
          <w:color w:val="000000"/>
          <w:sz w:val="21"/>
          <w:u w:val="single"/>
        </w:rPr>
        <w:t>湖州师范学院采购中心</w:t>
      </w:r>
      <w:r>
        <w:rPr>
          <w:rFonts w:ascii="宋体" w:hAnsi="宋体" w:eastAsia="宋体" w:cs="宋体"/>
          <w:color w:val="000000"/>
          <w:sz w:val="21"/>
        </w:rPr>
        <w:t>：</w:t>
      </w:r>
    </w:p>
    <w:p w14:paraId="5EB95D0B">
      <w:pPr>
        <w:wordWrap w:val="0"/>
        <w:spacing w:after="0" w:line="378" w:lineRule="exact"/>
        <w:ind w:firstLineChars="200"/>
        <w:jc w:val="left"/>
      </w:pPr>
      <w:r>
        <w:rPr>
          <w:rFonts w:ascii="宋体" w:hAnsi="宋体" w:eastAsia="宋体" w:cs="宋体"/>
          <w:color w:val="000000"/>
          <w:sz w:val="21"/>
        </w:rPr>
        <w:t xml:space="preserve">本授权书声明：注册于______________________（投标人住址）的______________________（投标人名称）法定代表人________（法定代表人姓名、职务）代表本公司授权在下面签字的_________（投标人代表姓名、职务）为本公司的合法代理人，就贵方组织的发展规划处关于学校办学质量与发展战略评价采购项目（项目名称）ZJHU20251017053（项目编号），以本公司名义处理一切与之有关的事务。 </w:t>
      </w:r>
    </w:p>
    <w:p w14:paraId="0B362D00">
      <w:pPr>
        <w:wordWrap w:val="0"/>
        <w:spacing w:before="0" w:after="0" w:line="378" w:lineRule="exact"/>
        <w:ind w:firstLineChars="200"/>
        <w:jc w:val="left"/>
      </w:pPr>
      <w:r>
        <w:rPr>
          <w:rFonts w:ascii="宋体" w:hAnsi="宋体" w:eastAsia="宋体" w:cs="宋体"/>
          <w:color w:val="000000"/>
          <w:sz w:val="21"/>
        </w:rPr>
        <w:t>本授权书于     年   月   日签字生效，特此声明。</w:t>
      </w:r>
    </w:p>
    <w:p w14:paraId="517BFFA2">
      <w:pPr>
        <w:wordWrap w:val="0"/>
        <w:spacing w:before="0" w:after="0" w:line="378" w:lineRule="exact"/>
        <w:jc w:val="left"/>
      </w:pPr>
    </w:p>
    <w:p w14:paraId="663B3B7A">
      <w:pPr>
        <w:wordWrap w:val="0"/>
        <w:spacing w:before="0" w:after="0" w:line="378" w:lineRule="exact"/>
        <w:ind w:firstLineChars="200"/>
        <w:jc w:val="left"/>
      </w:pPr>
      <w:r>
        <w:rPr>
          <w:rFonts w:ascii="宋体" w:hAnsi="宋体" w:eastAsia="宋体" w:cs="宋体"/>
          <w:color w:val="000000"/>
          <w:sz w:val="21"/>
        </w:rPr>
        <w:t>法定代表人签字：</w:t>
      </w:r>
    </w:p>
    <w:p w14:paraId="408714D8">
      <w:pPr>
        <w:wordWrap w:val="0"/>
        <w:spacing w:before="0" w:after="0" w:line="378" w:lineRule="exact"/>
        <w:ind w:firstLineChars="200"/>
        <w:jc w:val="left"/>
      </w:pPr>
      <w:r>
        <w:rPr>
          <w:rFonts w:ascii="宋体" w:hAnsi="宋体" w:eastAsia="宋体" w:cs="宋体"/>
          <w:color w:val="000000"/>
          <w:sz w:val="21"/>
        </w:rPr>
        <w:t xml:space="preserve">被授权人签字： </w:t>
      </w:r>
    </w:p>
    <w:p w14:paraId="0BE29D08">
      <w:pPr>
        <w:wordWrap w:val="0"/>
        <w:spacing w:before="0" w:after="0" w:line="378" w:lineRule="exact"/>
        <w:ind w:firstLineChars="200"/>
        <w:jc w:val="left"/>
      </w:pPr>
      <w:r>
        <w:rPr>
          <w:rFonts w:ascii="宋体" w:hAnsi="宋体" w:eastAsia="宋体" w:cs="宋体"/>
          <w:color w:val="000000"/>
          <w:sz w:val="21"/>
        </w:rPr>
        <w:t>日        期：        年    月    日</w:t>
      </w:r>
    </w:p>
    <w:p w14:paraId="403A5EDB">
      <w:pPr>
        <w:spacing w:before="0" w:after="0" w:line="255" w:lineRule="exact"/>
      </w:pPr>
    </w:p>
    <w:p w14:paraId="2C88952C">
      <w:pPr>
        <w:wordWrap w:val="0"/>
        <w:spacing w:after="0" w:line="378" w:lineRule="exact"/>
        <w:jc w:val="left"/>
      </w:pPr>
      <w:r>
        <w:rPr>
          <w:rFonts w:ascii="宋体" w:hAnsi="宋体" w:eastAsia="宋体" w:cs="宋体"/>
          <w:color w:val="000000"/>
          <w:sz w:val="21"/>
        </w:rPr>
        <w:t>公司法定代表人（身份证复印件）：</w:t>
      </w:r>
    </w:p>
    <w:tbl>
      <w:tblPr>
        <w:tblStyle w:val="2"/>
        <w:tblW w:w="9570"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9570"/>
      </w:tblGrid>
      <w:tr w14:paraId="6640E5B7">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45" w:hRule="atLeast"/>
          <w:jc w:val="center"/>
        </w:trPr>
        <w:tc>
          <w:tcPr>
            <w:tcW w:w="9570" w:type="dxa"/>
            <w:tcBorders>
              <w:top w:val="single" w:color="auto" w:sz="6" w:space="0"/>
              <w:left w:val="single" w:color="auto" w:sz="6" w:space="0"/>
              <w:bottom w:val="single" w:color="auto" w:sz="6" w:space="0"/>
              <w:right w:val="single" w:color="auto" w:sz="6" w:space="0"/>
            </w:tcBorders>
            <w:tcMar>
              <w:top w:w="20" w:type="dxa"/>
              <w:left w:w="20" w:type="dxa"/>
              <w:bottom w:w="20" w:type="dxa"/>
              <w:right w:w="20" w:type="dxa"/>
            </w:tcMar>
            <w:vAlign w:val="top"/>
          </w:tcPr>
          <w:p w14:paraId="00A857CB">
            <w:pPr>
              <w:wordWrap w:val="0"/>
              <w:spacing w:after="0" w:line="378" w:lineRule="exact"/>
              <w:jc w:val="left"/>
            </w:pPr>
            <w:r>
              <w:rPr>
                <w:rFonts w:ascii="宋体" w:hAnsi="宋体" w:eastAsia="宋体" w:cs="宋体"/>
                <w:color w:val="000000"/>
                <w:sz w:val="21"/>
              </w:rPr>
              <w:t>正面：                                       反面：</w:t>
            </w:r>
          </w:p>
        </w:tc>
      </w:tr>
    </w:tbl>
    <w:p w14:paraId="437E0590">
      <w:pPr>
        <w:wordWrap w:val="0"/>
        <w:spacing w:after="0" w:line="378" w:lineRule="exact"/>
        <w:jc w:val="left"/>
      </w:pPr>
      <w:r>
        <w:rPr>
          <w:rFonts w:ascii="宋体" w:hAnsi="宋体" w:eastAsia="宋体" w:cs="宋体"/>
          <w:color w:val="000000"/>
          <w:sz w:val="21"/>
        </w:rPr>
        <w:t xml:space="preserve">被委托人（身份证复印件）： </w:t>
      </w:r>
    </w:p>
    <w:tbl>
      <w:tblPr>
        <w:tblStyle w:val="2"/>
        <w:tblW w:w="9570"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840"/>
        <w:gridCol w:w="840"/>
        <w:gridCol w:w="840"/>
        <w:gridCol w:w="840"/>
        <w:gridCol w:w="840"/>
        <w:gridCol w:w="1260"/>
        <w:gridCol w:w="840"/>
        <w:gridCol w:w="840"/>
        <w:gridCol w:w="840"/>
        <w:gridCol w:w="840"/>
        <w:gridCol w:w="750"/>
      </w:tblGrid>
      <w:tr w14:paraId="49A2801B">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45" w:hRule="atLeast"/>
          <w:jc w:val="center"/>
        </w:trPr>
        <w:tc>
          <w:tcPr>
            <w:tcW w:w="9570" w:type="dxa"/>
            <w:gridSpan w:val="11"/>
            <w:tcBorders>
              <w:top w:val="single" w:color="auto" w:sz="6" w:space="0"/>
              <w:left w:val="single" w:color="auto" w:sz="6" w:space="0"/>
              <w:bottom w:val="nil"/>
              <w:right w:val="single" w:color="auto" w:sz="6" w:space="0"/>
            </w:tcBorders>
            <w:tcMar>
              <w:top w:w="20" w:type="dxa"/>
              <w:left w:w="20" w:type="dxa"/>
              <w:bottom w:w="20" w:type="dxa"/>
              <w:right w:w="20" w:type="dxa"/>
            </w:tcMar>
            <w:vAlign w:val="top"/>
          </w:tcPr>
          <w:p w14:paraId="0708D2B8">
            <w:pPr>
              <w:wordWrap w:val="0"/>
              <w:spacing w:after="0" w:line="378" w:lineRule="exact"/>
              <w:jc w:val="left"/>
            </w:pPr>
            <w:r>
              <w:rPr>
                <w:rFonts w:ascii="宋体" w:hAnsi="宋体" w:eastAsia="宋体" w:cs="宋体"/>
                <w:color w:val="000000"/>
                <w:sz w:val="21"/>
              </w:rPr>
              <w:t>正面：                                       反面：</w:t>
            </w:r>
          </w:p>
        </w:tc>
      </w:tr>
      <w:tr w14:paraId="026C1D02">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255" w:hRule="exact"/>
          <w:jc w:val="center"/>
        </w:trPr>
        <w:tc>
          <w:tcPr>
            <w:tcW w:w="840" w:type="dxa"/>
            <w:tcBorders>
              <w:top w:val="single" w:color="auto" w:sz="6" w:space="0"/>
              <w:left w:val="nil"/>
              <w:bottom w:val="nil"/>
              <w:right w:val="nil"/>
            </w:tcBorders>
            <w:tcMar>
              <w:top w:w="20" w:type="dxa"/>
              <w:left w:w="20" w:type="dxa"/>
              <w:bottom w:w="20" w:type="dxa"/>
              <w:right w:w="20" w:type="dxa"/>
            </w:tcMar>
            <w:vAlign w:val="center"/>
          </w:tcPr>
          <w:p w14:paraId="1CA93F0A">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101798BC">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5C91699C">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477CA6D3">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035F1E41">
            <w:pPr>
              <w:wordWrap w:val="0"/>
            </w:pPr>
          </w:p>
        </w:tc>
        <w:tc>
          <w:tcPr>
            <w:tcW w:w="1260" w:type="dxa"/>
            <w:tcBorders>
              <w:top w:val="single" w:color="auto" w:sz="6" w:space="0"/>
              <w:left w:val="nil"/>
              <w:bottom w:val="nil"/>
              <w:right w:val="nil"/>
            </w:tcBorders>
            <w:tcMar>
              <w:top w:w="20" w:type="dxa"/>
              <w:left w:w="20" w:type="dxa"/>
              <w:bottom w:w="20" w:type="dxa"/>
              <w:right w:w="20" w:type="dxa"/>
            </w:tcMar>
            <w:vAlign w:val="center"/>
          </w:tcPr>
          <w:p w14:paraId="6042E8FF">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72515C41">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352E4713">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63E05C01">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301E82F8">
            <w:pPr>
              <w:wordWrap w:val="0"/>
            </w:pPr>
          </w:p>
        </w:tc>
        <w:tc>
          <w:tcPr>
            <w:tcW w:w="750" w:type="dxa"/>
            <w:tcBorders>
              <w:top w:val="single" w:color="auto" w:sz="6" w:space="0"/>
              <w:left w:val="nil"/>
              <w:bottom w:val="nil"/>
              <w:right w:val="nil"/>
            </w:tcBorders>
            <w:tcMar>
              <w:top w:w="20" w:type="dxa"/>
              <w:left w:w="20" w:type="dxa"/>
              <w:bottom w:w="20" w:type="dxa"/>
              <w:right w:w="20" w:type="dxa"/>
            </w:tcMar>
            <w:vAlign w:val="center"/>
          </w:tcPr>
          <w:p w14:paraId="6C475CCC">
            <w:pPr>
              <w:wordWrap w:val="0"/>
            </w:pPr>
          </w:p>
        </w:tc>
      </w:tr>
    </w:tbl>
    <w:p w14:paraId="12AA1A56">
      <w:pPr>
        <w:wordWrap w:val="0"/>
        <w:spacing w:after="0" w:line="503" w:lineRule="exact"/>
        <w:jc w:val="center"/>
      </w:pPr>
      <w:r>
        <w:rPr>
          <w:rFonts w:ascii="宋体" w:hAnsi="宋体" w:eastAsia="宋体" w:cs="宋体"/>
          <w:b/>
          <w:color w:val="000000"/>
          <w:sz w:val="28"/>
        </w:rPr>
        <w:t>法定代表人、单位负责人或自然人本人的身份证明</w:t>
      </w:r>
    </w:p>
    <w:p w14:paraId="0E1C30D7">
      <w:pPr>
        <w:wordWrap w:val="0"/>
        <w:spacing w:before="0" w:after="0" w:line="503" w:lineRule="exact"/>
        <w:jc w:val="center"/>
      </w:pPr>
      <w:r>
        <w:rPr>
          <w:rFonts w:ascii="宋体" w:hAnsi="宋体" w:eastAsia="宋体" w:cs="宋体"/>
          <w:color w:val="000000"/>
          <w:sz w:val="18"/>
        </w:rPr>
        <w:t>（适用于法定代表人、单位负责人或者自然人本人代表投标人参加投标）</w:t>
      </w:r>
    </w:p>
    <w:p w14:paraId="34AC8B83">
      <w:pPr>
        <w:wordWrap w:val="0"/>
        <w:spacing w:before="6" w:after="6"/>
        <w:jc w:val="left"/>
      </w:pPr>
      <w:r>
        <w:rPr>
          <w:rFonts w:ascii="宋体" w:hAnsi="宋体" w:eastAsia="宋体" w:cs="宋体"/>
          <w:color w:val="000000"/>
          <w:sz w:val="21"/>
        </w:rPr>
        <w:t>身份证复印件：</w:t>
      </w:r>
    </w:p>
    <w:tbl>
      <w:tblPr>
        <w:tblStyle w:val="2"/>
        <w:tblW w:w="9570"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840"/>
        <w:gridCol w:w="840"/>
        <w:gridCol w:w="840"/>
        <w:gridCol w:w="840"/>
        <w:gridCol w:w="840"/>
        <w:gridCol w:w="1260"/>
        <w:gridCol w:w="840"/>
        <w:gridCol w:w="840"/>
        <w:gridCol w:w="840"/>
        <w:gridCol w:w="840"/>
        <w:gridCol w:w="750"/>
      </w:tblGrid>
      <w:tr w14:paraId="5CE5DB69">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45" w:hRule="atLeast"/>
          <w:jc w:val="center"/>
        </w:trPr>
        <w:tc>
          <w:tcPr>
            <w:tcW w:w="9570" w:type="dxa"/>
            <w:gridSpan w:val="11"/>
            <w:tcBorders>
              <w:top w:val="single" w:color="auto" w:sz="6" w:space="0"/>
              <w:left w:val="single" w:color="auto" w:sz="6" w:space="0"/>
              <w:bottom w:val="nil"/>
              <w:right w:val="single" w:color="auto" w:sz="6" w:space="0"/>
            </w:tcBorders>
            <w:tcMar>
              <w:top w:w="20" w:type="dxa"/>
              <w:left w:w="20" w:type="dxa"/>
              <w:bottom w:w="20" w:type="dxa"/>
              <w:right w:w="20" w:type="dxa"/>
            </w:tcMar>
            <w:vAlign w:val="top"/>
          </w:tcPr>
          <w:p w14:paraId="73CFF61F">
            <w:pPr>
              <w:wordWrap w:val="0"/>
              <w:spacing w:after="0" w:line="378" w:lineRule="exact"/>
              <w:jc w:val="left"/>
            </w:pPr>
            <w:r>
              <w:rPr>
                <w:rFonts w:ascii="宋体" w:hAnsi="宋体" w:eastAsia="宋体" w:cs="宋体"/>
                <w:color w:val="000000"/>
                <w:sz w:val="21"/>
              </w:rPr>
              <w:t>正面：                                 反面：</w:t>
            </w:r>
          </w:p>
        </w:tc>
      </w:tr>
      <w:tr w14:paraId="715E866C">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255" w:hRule="exact"/>
          <w:jc w:val="center"/>
        </w:trPr>
        <w:tc>
          <w:tcPr>
            <w:tcW w:w="840" w:type="dxa"/>
            <w:tcBorders>
              <w:top w:val="single" w:color="auto" w:sz="6" w:space="0"/>
              <w:left w:val="nil"/>
              <w:bottom w:val="nil"/>
              <w:right w:val="nil"/>
            </w:tcBorders>
            <w:tcMar>
              <w:top w:w="20" w:type="dxa"/>
              <w:left w:w="20" w:type="dxa"/>
              <w:bottom w:w="20" w:type="dxa"/>
              <w:right w:w="20" w:type="dxa"/>
            </w:tcMar>
            <w:vAlign w:val="center"/>
          </w:tcPr>
          <w:p w14:paraId="689C3A32">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1B2FF6C8">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42040B9C">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698D902C">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0A28AC6A">
            <w:pPr>
              <w:wordWrap w:val="0"/>
            </w:pPr>
          </w:p>
        </w:tc>
        <w:tc>
          <w:tcPr>
            <w:tcW w:w="1260" w:type="dxa"/>
            <w:tcBorders>
              <w:top w:val="single" w:color="auto" w:sz="6" w:space="0"/>
              <w:left w:val="nil"/>
              <w:bottom w:val="nil"/>
              <w:right w:val="nil"/>
            </w:tcBorders>
            <w:tcMar>
              <w:top w:w="20" w:type="dxa"/>
              <w:left w:w="20" w:type="dxa"/>
              <w:bottom w:w="20" w:type="dxa"/>
              <w:right w:w="20" w:type="dxa"/>
            </w:tcMar>
            <w:vAlign w:val="center"/>
          </w:tcPr>
          <w:p w14:paraId="29F855FF">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673056ED">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3B441C8B">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29818B0E">
            <w:pPr>
              <w:wordWrap w:val="0"/>
            </w:pPr>
          </w:p>
        </w:tc>
        <w:tc>
          <w:tcPr>
            <w:tcW w:w="840" w:type="dxa"/>
            <w:tcBorders>
              <w:top w:val="single" w:color="auto" w:sz="6" w:space="0"/>
              <w:left w:val="nil"/>
              <w:bottom w:val="nil"/>
              <w:right w:val="nil"/>
            </w:tcBorders>
            <w:tcMar>
              <w:top w:w="20" w:type="dxa"/>
              <w:left w:w="20" w:type="dxa"/>
              <w:bottom w:w="20" w:type="dxa"/>
              <w:right w:w="20" w:type="dxa"/>
            </w:tcMar>
            <w:vAlign w:val="center"/>
          </w:tcPr>
          <w:p w14:paraId="3D4656F6">
            <w:pPr>
              <w:wordWrap w:val="0"/>
            </w:pPr>
          </w:p>
        </w:tc>
        <w:tc>
          <w:tcPr>
            <w:tcW w:w="750" w:type="dxa"/>
            <w:tcBorders>
              <w:top w:val="single" w:color="auto" w:sz="6" w:space="0"/>
              <w:left w:val="nil"/>
              <w:bottom w:val="nil"/>
              <w:right w:val="nil"/>
            </w:tcBorders>
            <w:tcMar>
              <w:top w:w="20" w:type="dxa"/>
              <w:left w:w="20" w:type="dxa"/>
              <w:bottom w:w="20" w:type="dxa"/>
              <w:right w:w="20" w:type="dxa"/>
            </w:tcMar>
            <w:vAlign w:val="center"/>
          </w:tcPr>
          <w:p w14:paraId="10DA55C7">
            <w:pPr>
              <w:wordWrap w:val="0"/>
            </w:pPr>
          </w:p>
        </w:tc>
      </w:tr>
    </w:tbl>
    <w:p w14:paraId="4F3AE3AD">
      <w:pPr>
        <w:wordWrap w:val="0"/>
        <w:spacing w:after="0" w:line="396" w:lineRule="exact"/>
        <w:ind w:firstLineChars="1000"/>
        <w:jc w:val="left"/>
      </w:pPr>
      <w:r>
        <w:rPr>
          <w:rFonts w:ascii="宋体" w:hAnsi="宋体" w:eastAsia="宋体" w:cs="宋体"/>
          <w:color w:val="000000"/>
          <w:sz w:val="22"/>
        </w:rPr>
        <w:t>投标人（盖公章）：</w:t>
      </w:r>
    </w:p>
    <w:p w14:paraId="7A7EE19F">
      <w:pPr>
        <w:wordWrap w:val="0"/>
        <w:spacing w:before="0" w:after="0" w:line="396" w:lineRule="exact"/>
        <w:ind w:firstLineChars="1000"/>
        <w:jc w:val="left"/>
      </w:pPr>
      <w:r>
        <w:rPr>
          <w:rFonts w:ascii="宋体" w:hAnsi="宋体" w:eastAsia="宋体" w:cs="宋体"/>
          <w:color w:val="000000"/>
          <w:sz w:val="22"/>
        </w:rPr>
        <w:t>法定代表人（签字或盖章）：</w:t>
      </w:r>
    </w:p>
    <w:tbl>
      <w:tblPr>
        <w:tblStyle w:val="2"/>
        <w:tblW w:w="9570"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4200"/>
        <w:gridCol w:w="5370"/>
      </w:tblGrid>
      <w:tr w14:paraId="0D1BD714">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270" w:hRule="atLeast"/>
          <w:jc w:val="center"/>
        </w:trPr>
        <w:tc>
          <w:tcPr>
            <w:tcW w:w="4200" w:type="dxa"/>
            <w:tcBorders>
              <w:top w:val="nil"/>
              <w:left w:val="nil"/>
              <w:bottom w:val="nil"/>
              <w:right w:val="nil"/>
            </w:tcBorders>
            <w:tcMar>
              <w:top w:w="20" w:type="dxa"/>
              <w:left w:w="20" w:type="dxa"/>
              <w:bottom w:w="20" w:type="dxa"/>
              <w:right w:w="20" w:type="dxa"/>
            </w:tcMar>
            <w:vAlign w:val="center"/>
          </w:tcPr>
          <w:p w14:paraId="2090C6A1">
            <w:pPr>
              <w:wordWrap w:val="0"/>
            </w:pPr>
          </w:p>
        </w:tc>
        <w:tc>
          <w:tcPr>
            <w:tcW w:w="5370" w:type="dxa"/>
            <w:tcBorders>
              <w:top w:val="nil"/>
              <w:left w:val="nil"/>
              <w:bottom w:val="nil"/>
              <w:right w:val="nil"/>
            </w:tcBorders>
            <w:tcMar>
              <w:top w:w="20" w:type="dxa"/>
              <w:left w:w="20" w:type="dxa"/>
              <w:bottom w:w="20" w:type="dxa"/>
              <w:right w:w="20" w:type="dxa"/>
            </w:tcMar>
            <w:vAlign w:val="center"/>
          </w:tcPr>
          <w:p w14:paraId="555B9DD7">
            <w:pPr>
              <w:wordWrap w:val="0"/>
              <w:jc w:val="left"/>
            </w:pPr>
            <w:r>
              <w:rPr>
                <w:rFonts w:ascii="宋体" w:hAnsi="宋体" w:eastAsia="宋体" w:cs="宋体"/>
                <w:color w:val="000000"/>
                <w:sz w:val="22"/>
              </w:rPr>
              <w:t>时间： 年  月  日</w:t>
            </w:r>
          </w:p>
        </w:tc>
      </w:tr>
    </w:tbl>
    <w:p w14:paraId="531BC287">
      <w:pPr>
        <w:sectPr>
          <w:pgSz w:w="11907" w:h="16839"/>
          <w:pgMar w:top="1077" w:right="1154" w:bottom="1077" w:left="1154" w:header="720" w:footer="720" w:gutter="0"/>
          <w:cols w:space="720" w:num="1"/>
        </w:sectPr>
      </w:pPr>
    </w:p>
    <w:p w14:paraId="513C8907">
      <w:pPr>
        <w:wordWrap w:val="0"/>
        <w:spacing w:after="0" w:line="378" w:lineRule="exact"/>
        <w:jc w:val="left"/>
        <w:outlineLvl w:val="1"/>
      </w:pPr>
      <w:r>
        <w:rPr>
          <w:rFonts w:ascii="宋体" w:hAnsi="宋体" w:eastAsia="宋体" w:cs="宋体"/>
          <w:b/>
          <w:color w:val="000000"/>
          <w:sz w:val="21"/>
        </w:rPr>
        <w:t>附件三： 报价表</w:t>
      </w:r>
    </w:p>
    <w:p w14:paraId="3E12103C">
      <w:pPr>
        <w:wordWrap w:val="0"/>
        <w:spacing w:before="175" w:after="175"/>
        <w:jc w:val="center"/>
      </w:pPr>
      <w:r>
        <w:rPr>
          <w:rFonts w:ascii="宋体" w:hAnsi="宋体" w:eastAsia="宋体" w:cs="宋体"/>
          <w:b/>
          <w:color w:val="000000"/>
          <w:sz w:val="28"/>
        </w:rPr>
        <w:t>报价表</w:t>
      </w:r>
    </w:p>
    <w:tbl>
      <w:tblPr>
        <w:tblStyle w:val="2"/>
        <w:tblW w:w="9870" w:type="dxa"/>
        <w:tblInd w:w="0" w:type="dxa"/>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4860"/>
        <w:gridCol w:w="1260"/>
        <w:gridCol w:w="3750"/>
      </w:tblGrid>
      <w:tr w14:paraId="1EDBB465">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atLeast"/>
        </w:trPr>
        <w:tc>
          <w:tcPr>
            <w:tcW w:w="4860" w:type="dxa"/>
            <w:tcBorders>
              <w:top w:val="nil"/>
              <w:left w:val="nil"/>
              <w:bottom w:val="nil"/>
              <w:right w:val="nil"/>
            </w:tcBorders>
            <w:tcMar>
              <w:top w:w="20" w:type="dxa"/>
              <w:left w:w="20" w:type="dxa"/>
              <w:bottom w:w="20" w:type="dxa"/>
              <w:right w:w="20" w:type="dxa"/>
            </w:tcMar>
            <w:vAlign w:val="center"/>
          </w:tcPr>
          <w:p w14:paraId="00912FA9">
            <w:pPr>
              <w:wordWrap w:val="0"/>
              <w:spacing w:after="0" w:line="378" w:lineRule="exact"/>
              <w:jc w:val="left"/>
            </w:pPr>
            <w:r>
              <w:rPr>
                <w:rFonts w:ascii="宋体" w:hAnsi="宋体" w:eastAsia="宋体" w:cs="宋体"/>
                <w:color w:val="000000"/>
                <w:sz w:val="21"/>
              </w:rPr>
              <w:t>项目名称：发展规划处关于学校办学质量与发展战略评价采购项目</w:t>
            </w:r>
          </w:p>
        </w:tc>
        <w:tc>
          <w:tcPr>
            <w:tcW w:w="1260" w:type="dxa"/>
            <w:tcBorders>
              <w:top w:val="nil"/>
              <w:left w:val="nil"/>
              <w:bottom w:val="nil"/>
              <w:right w:val="nil"/>
            </w:tcBorders>
            <w:tcMar>
              <w:top w:w="20" w:type="dxa"/>
              <w:left w:w="20" w:type="dxa"/>
              <w:bottom w:w="20" w:type="dxa"/>
              <w:right w:w="20" w:type="dxa"/>
            </w:tcMar>
            <w:vAlign w:val="center"/>
          </w:tcPr>
          <w:p w14:paraId="3F6626F6">
            <w:pPr>
              <w:wordWrap w:val="0"/>
            </w:pPr>
          </w:p>
        </w:tc>
        <w:tc>
          <w:tcPr>
            <w:tcW w:w="3750" w:type="dxa"/>
            <w:tcBorders>
              <w:top w:val="nil"/>
              <w:left w:val="nil"/>
              <w:bottom w:val="nil"/>
              <w:right w:val="nil"/>
            </w:tcBorders>
            <w:tcMar>
              <w:top w:w="20" w:type="dxa"/>
              <w:left w:w="20" w:type="dxa"/>
              <w:bottom w:w="20" w:type="dxa"/>
              <w:right w:w="20" w:type="dxa"/>
            </w:tcMar>
            <w:vAlign w:val="center"/>
          </w:tcPr>
          <w:p w14:paraId="30A9360E">
            <w:pPr>
              <w:wordWrap w:val="0"/>
              <w:spacing w:after="0" w:line="378" w:lineRule="exact"/>
              <w:jc w:val="right"/>
            </w:pPr>
            <w:r>
              <w:rPr>
                <w:rFonts w:ascii="宋体" w:hAnsi="宋体" w:eastAsia="宋体" w:cs="宋体"/>
                <w:color w:val="000000"/>
                <w:sz w:val="21"/>
              </w:rPr>
              <w:t>项目编号：ZJHU20251017053</w:t>
            </w:r>
          </w:p>
        </w:tc>
      </w:tr>
    </w:tbl>
    <w:p w14:paraId="377E818D">
      <w:pPr>
        <w:spacing w:before="0" w:after="0" w:line="105" w:lineRule="exact"/>
      </w:pPr>
    </w:p>
    <w:tbl>
      <w:tblPr>
        <w:tblStyle w:val="2"/>
        <w:tblW w:w="9585" w:type="dxa"/>
        <w:jc w:val="center"/>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572"/>
        <w:gridCol w:w="1296"/>
        <w:gridCol w:w="1474"/>
        <w:gridCol w:w="913"/>
        <w:gridCol w:w="462"/>
        <w:gridCol w:w="600"/>
        <w:gridCol w:w="813"/>
        <w:gridCol w:w="1394"/>
        <w:gridCol w:w="1343"/>
        <w:gridCol w:w="588"/>
        <w:gridCol w:w="130"/>
      </w:tblGrid>
      <w:tr w14:paraId="15F965D9">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gridAfter w:val="1"/>
          <w:wAfter w:w="130" w:type="dxa"/>
          <w:trHeight w:val="600" w:hRule="atLeast"/>
          <w:jc w:val="center"/>
        </w:trPr>
        <w:tc>
          <w:tcPr>
            <w:tcW w:w="572" w:type="dxa"/>
            <w:tcBorders>
              <w:top w:val="single" w:color="auto" w:sz="6" w:space="0"/>
              <w:left w:val="single" w:color="auto" w:sz="6" w:space="0"/>
              <w:bottom w:val="nil"/>
              <w:right w:val="nil"/>
            </w:tcBorders>
            <w:tcMar>
              <w:top w:w="20" w:type="dxa"/>
              <w:left w:w="20" w:type="dxa"/>
              <w:bottom w:w="20" w:type="dxa"/>
              <w:right w:w="20" w:type="dxa"/>
            </w:tcMar>
            <w:vAlign w:val="center"/>
          </w:tcPr>
          <w:p w14:paraId="28585DC6">
            <w:pPr>
              <w:wordWrap w:val="0"/>
              <w:jc w:val="center"/>
            </w:pPr>
            <w:r>
              <w:rPr>
                <w:rFonts w:ascii="宋体" w:hAnsi="宋体" w:eastAsia="宋体" w:cs="宋体"/>
                <w:color w:val="000000"/>
                <w:sz w:val="21"/>
              </w:rPr>
              <w:t>序号</w:t>
            </w:r>
          </w:p>
        </w:tc>
        <w:tc>
          <w:tcPr>
            <w:tcW w:w="2770" w:type="dxa"/>
            <w:gridSpan w:val="2"/>
            <w:tcBorders>
              <w:top w:val="single" w:color="auto" w:sz="6" w:space="0"/>
              <w:left w:val="single" w:color="auto" w:sz="6" w:space="0"/>
              <w:bottom w:val="nil"/>
              <w:right w:val="nil"/>
            </w:tcBorders>
            <w:tcMar>
              <w:top w:w="20" w:type="dxa"/>
              <w:left w:w="20" w:type="dxa"/>
              <w:bottom w:w="20" w:type="dxa"/>
              <w:right w:w="20" w:type="dxa"/>
            </w:tcMar>
            <w:vAlign w:val="center"/>
          </w:tcPr>
          <w:p w14:paraId="24108669">
            <w:pPr>
              <w:wordWrap w:val="0"/>
              <w:jc w:val="center"/>
            </w:pPr>
            <w:r>
              <w:rPr>
                <w:rFonts w:ascii="宋体" w:hAnsi="宋体" w:eastAsia="宋体" w:cs="宋体"/>
                <w:color w:val="000000"/>
                <w:sz w:val="21"/>
              </w:rPr>
              <w:t>服务内容</w:t>
            </w:r>
          </w:p>
        </w:tc>
        <w:tc>
          <w:tcPr>
            <w:tcW w:w="913" w:type="dxa"/>
            <w:tcBorders>
              <w:top w:val="single" w:color="auto" w:sz="6" w:space="0"/>
              <w:left w:val="single" w:color="auto" w:sz="6" w:space="0"/>
              <w:bottom w:val="nil"/>
              <w:right w:val="nil"/>
            </w:tcBorders>
            <w:tcMar>
              <w:top w:w="20" w:type="dxa"/>
              <w:left w:w="20" w:type="dxa"/>
              <w:bottom w:w="20" w:type="dxa"/>
              <w:right w:w="20" w:type="dxa"/>
            </w:tcMar>
            <w:vAlign w:val="center"/>
          </w:tcPr>
          <w:p w14:paraId="4B4FEAE3">
            <w:pPr>
              <w:wordWrap w:val="0"/>
              <w:jc w:val="center"/>
            </w:pPr>
            <w:r>
              <w:rPr>
                <w:rFonts w:ascii="宋体" w:hAnsi="宋体" w:eastAsia="宋体" w:cs="宋体"/>
                <w:color w:val="000000"/>
                <w:sz w:val="21"/>
              </w:rPr>
              <w:t>服务期限</w:t>
            </w:r>
          </w:p>
        </w:tc>
        <w:tc>
          <w:tcPr>
            <w:tcW w:w="1062" w:type="dxa"/>
            <w:gridSpan w:val="2"/>
            <w:tcBorders>
              <w:top w:val="single" w:color="auto" w:sz="6" w:space="0"/>
              <w:left w:val="single" w:color="auto" w:sz="6" w:space="0"/>
              <w:bottom w:val="nil"/>
              <w:right w:val="nil"/>
            </w:tcBorders>
            <w:tcMar>
              <w:top w:w="20" w:type="dxa"/>
              <w:left w:w="20" w:type="dxa"/>
              <w:bottom w:w="20" w:type="dxa"/>
              <w:right w:w="20" w:type="dxa"/>
            </w:tcMar>
            <w:vAlign w:val="center"/>
          </w:tcPr>
          <w:p w14:paraId="223F2208">
            <w:pPr>
              <w:wordWrap w:val="0"/>
              <w:jc w:val="center"/>
            </w:pPr>
            <w:r>
              <w:rPr>
                <w:rFonts w:ascii="宋体" w:hAnsi="宋体" w:eastAsia="宋体" w:cs="宋体"/>
                <w:color w:val="000000"/>
                <w:sz w:val="21"/>
              </w:rPr>
              <w:t>服务承诺</w:t>
            </w:r>
          </w:p>
        </w:tc>
        <w:tc>
          <w:tcPr>
            <w:tcW w:w="813" w:type="dxa"/>
            <w:tcBorders>
              <w:top w:val="single" w:color="auto" w:sz="6" w:space="0"/>
              <w:left w:val="single" w:color="auto" w:sz="6" w:space="0"/>
              <w:bottom w:val="nil"/>
              <w:right w:val="nil"/>
            </w:tcBorders>
            <w:tcMar>
              <w:top w:w="20" w:type="dxa"/>
              <w:left w:w="20" w:type="dxa"/>
              <w:bottom w:w="20" w:type="dxa"/>
              <w:right w:w="20" w:type="dxa"/>
            </w:tcMar>
            <w:vAlign w:val="center"/>
          </w:tcPr>
          <w:p w14:paraId="3F03B93F">
            <w:pPr>
              <w:wordWrap w:val="0"/>
              <w:jc w:val="center"/>
            </w:pPr>
            <w:r>
              <w:rPr>
                <w:rFonts w:ascii="宋体" w:hAnsi="宋体" w:eastAsia="宋体" w:cs="宋体"/>
                <w:color w:val="000000"/>
                <w:sz w:val="21"/>
              </w:rPr>
              <w:t>数量</w:t>
            </w:r>
          </w:p>
        </w:tc>
        <w:tc>
          <w:tcPr>
            <w:tcW w:w="1394" w:type="dxa"/>
            <w:tcBorders>
              <w:top w:val="single" w:color="auto" w:sz="6" w:space="0"/>
              <w:left w:val="single" w:color="auto" w:sz="6" w:space="0"/>
              <w:bottom w:val="nil"/>
              <w:right w:val="nil"/>
            </w:tcBorders>
            <w:tcMar>
              <w:top w:w="20" w:type="dxa"/>
              <w:left w:w="20" w:type="dxa"/>
              <w:bottom w:w="20" w:type="dxa"/>
              <w:right w:w="20" w:type="dxa"/>
            </w:tcMar>
            <w:vAlign w:val="center"/>
          </w:tcPr>
          <w:p w14:paraId="315A0699">
            <w:pPr>
              <w:wordWrap w:val="0"/>
              <w:spacing w:after="0" w:line="378" w:lineRule="exact"/>
              <w:jc w:val="center"/>
            </w:pPr>
            <w:r>
              <w:rPr>
                <w:rFonts w:ascii="宋体" w:hAnsi="宋体" w:eastAsia="宋体" w:cs="宋体"/>
                <w:color w:val="000000"/>
                <w:sz w:val="21"/>
              </w:rPr>
              <w:t>单价(元/年)</w:t>
            </w:r>
          </w:p>
        </w:tc>
        <w:tc>
          <w:tcPr>
            <w:tcW w:w="1343" w:type="dxa"/>
            <w:tcBorders>
              <w:top w:val="single" w:color="auto" w:sz="6" w:space="0"/>
              <w:left w:val="single" w:color="auto" w:sz="6" w:space="0"/>
              <w:bottom w:val="nil"/>
              <w:right w:val="nil"/>
            </w:tcBorders>
            <w:tcMar>
              <w:top w:w="20" w:type="dxa"/>
              <w:left w:w="20" w:type="dxa"/>
              <w:bottom w:w="20" w:type="dxa"/>
              <w:right w:w="20" w:type="dxa"/>
            </w:tcMar>
            <w:vAlign w:val="center"/>
          </w:tcPr>
          <w:p w14:paraId="3A292DF0">
            <w:pPr>
              <w:wordWrap w:val="0"/>
              <w:jc w:val="center"/>
            </w:pPr>
            <w:r>
              <w:rPr>
                <w:rFonts w:ascii="宋体" w:hAnsi="宋体" w:eastAsia="宋体" w:cs="宋体"/>
                <w:color w:val="000000"/>
                <w:sz w:val="21"/>
              </w:rPr>
              <w:t>报价(元)</w:t>
            </w:r>
          </w:p>
        </w:tc>
        <w:tc>
          <w:tcPr>
            <w:tcW w:w="588"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431EFA18">
            <w:pPr>
              <w:wordWrap w:val="0"/>
              <w:jc w:val="center"/>
            </w:pPr>
            <w:r>
              <w:rPr>
                <w:rFonts w:ascii="宋体" w:hAnsi="宋体" w:eastAsia="宋体" w:cs="宋体"/>
                <w:color w:val="000000"/>
                <w:sz w:val="21"/>
              </w:rPr>
              <w:t>备注</w:t>
            </w:r>
          </w:p>
        </w:tc>
      </w:tr>
      <w:tr w14:paraId="1B2E5F92">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gridAfter w:val="1"/>
          <w:wAfter w:w="130" w:type="dxa"/>
          <w:trHeight w:val="495" w:hRule="atLeast"/>
          <w:jc w:val="center"/>
        </w:trPr>
        <w:tc>
          <w:tcPr>
            <w:tcW w:w="572" w:type="dxa"/>
            <w:tcBorders>
              <w:top w:val="single" w:color="auto" w:sz="6" w:space="0"/>
              <w:left w:val="single" w:color="auto" w:sz="6" w:space="0"/>
              <w:bottom w:val="nil"/>
              <w:right w:val="nil"/>
            </w:tcBorders>
            <w:tcMar>
              <w:top w:w="20" w:type="dxa"/>
              <w:left w:w="20" w:type="dxa"/>
              <w:bottom w:w="20" w:type="dxa"/>
              <w:right w:w="20" w:type="dxa"/>
            </w:tcMar>
            <w:vAlign w:val="center"/>
          </w:tcPr>
          <w:p w14:paraId="22A91AFB">
            <w:pPr>
              <w:wordWrap w:val="0"/>
              <w:spacing w:after="0" w:line="378" w:lineRule="exact"/>
              <w:jc w:val="center"/>
            </w:pPr>
            <w:r>
              <w:rPr>
                <w:rFonts w:ascii="宋体" w:hAnsi="宋体" w:eastAsia="宋体" w:cs="宋体"/>
                <w:color w:val="000000"/>
                <w:sz w:val="21"/>
              </w:rPr>
              <w:t>1</w:t>
            </w:r>
          </w:p>
        </w:tc>
        <w:tc>
          <w:tcPr>
            <w:tcW w:w="2770" w:type="dxa"/>
            <w:gridSpan w:val="2"/>
            <w:tcBorders>
              <w:top w:val="single" w:color="auto" w:sz="6" w:space="0"/>
              <w:left w:val="single" w:color="auto" w:sz="6" w:space="0"/>
              <w:bottom w:val="nil"/>
              <w:right w:val="nil"/>
            </w:tcBorders>
            <w:tcMar>
              <w:top w:w="20" w:type="dxa"/>
              <w:left w:w="20" w:type="dxa"/>
              <w:bottom w:w="20" w:type="dxa"/>
              <w:right w:w="20" w:type="dxa"/>
            </w:tcMar>
            <w:vAlign w:val="top"/>
          </w:tcPr>
          <w:p w14:paraId="49789C66">
            <w:pPr>
              <w:wordWrap w:val="0"/>
              <w:spacing w:after="0" w:line="378" w:lineRule="exact"/>
              <w:jc w:val="left"/>
            </w:pPr>
            <w:r>
              <w:rPr>
                <w:rFonts w:ascii="宋体" w:hAnsi="宋体" w:eastAsia="宋体" w:cs="宋体"/>
                <w:color w:val="000000"/>
                <w:sz w:val="21"/>
              </w:rPr>
              <w:t>湖州师范学院正处于建设高水平师范大学的关键时期，亟需深圳艾瑞深信息咨询有限公司为其在人才培养、师资队伍、学科建设、科学研究、社会服务、国际合作等方面提供全方面的专业化评价监测。</w:t>
            </w:r>
          </w:p>
        </w:tc>
        <w:tc>
          <w:tcPr>
            <w:tcW w:w="913" w:type="dxa"/>
            <w:tcBorders>
              <w:top w:val="single" w:color="auto" w:sz="6" w:space="0"/>
              <w:left w:val="single" w:color="auto" w:sz="6" w:space="0"/>
              <w:bottom w:val="nil"/>
              <w:right w:val="nil"/>
            </w:tcBorders>
            <w:tcMar>
              <w:top w:w="20" w:type="dxa"/>
              <w:left w:w="20" w:type="dxa"/>
              <w:bottom w:w="20" w:type="dxa"/>
              <w:right w:w="20" w:type="dxa"/>
            </w:tcMar>
            <w:vAlign w:val="center"/>
          </w:tcPr>
          <w:p w14:paraId="40E835F9">
            <w:pPr>
              <w:wordWrap w:val="0"/>
              <w:spacing w:after="0" w:line="378" w:lineRule="exact"/>
              <w:jc w:val="center"/>
            </w:pPr>
            <w:r>
              <w:rPr>
                <w:rFonts w:ascii="宋体" w:hAnsi="宋体" w:eastAsia="宋体" w:cs="宋体"/>
                <w:color w:val="000000"/>
                <w:sz w:val="21"/>
              </w:rPr>
              <w:t>合同签订并生效后2年</w:t>
            </w:r>
          </w:p>
        </w:tc>
        <w:tc>
          <w:tcPr>
            <w:tcW w:w="1062" w:type="dxa"/>
            <w:gridSpan w:val="2"/>
            <w:tcBorders>
              <w:top w:val="single" w:color="auto" w:sz="6" w:space="0"/>
              <w:left w:val="single" w:color="auto" w:sz="6" w:space="0"/>
              <w:bottom w:val="nil"/>
              <w:right w:val="nil"/>
            </w:tcBorders>
            <w:tcMar>
              <w:top w:w="20" w:type="dxa"/>
              <w:left w:w="20" w:type="dxa"/>
              <w:bottom w:w="20" w:type="dxa"/>
              <w:right w:w="20" w:type="dxa"/>
            </w:tcMar>
            <w:vAlign w:val="center"/>
          </w:tcPr>
          <w:p w14:paraId="7A81CC7B">
            <w:pPr>
              <w:wordWrap w:val="0"/>
            </w:pPr>
          </w:p>
        </w:tc>
        <w:tc>
          <w:tcPr>
            <w:tcW w:w="813" w:type="dxa"/>
            <w:tcBorders>
              <w:top w:val="single" w:color="auto" w:sz="6" w:space="0"/>
              <w:left w:val="single" w:color="auto" w:sz="6" w:space="0"/>
              <w:bottom w:val="nil"/>
              <w:right w:val="nil"/>
            </w:tcBorders>
            <w:tcMar>
              <w:top w:w="20" w:type="dxa"/>
              <w:left w:w="20" w:type="dxa"/>
              <w:bottom w:w="20" w:type="dxa"/>
              <w:right w:w="20" w:type="dxa"/>
            </w:tcMar>
            <w:vAlign w:val="center"/>
          </w:tcPr>
          <w:p w14:paraId="120B8759">
            <w:pPr>
              <w:wordWrap w:val="0"/>
              <w:spacing w:after="0" w:line="378" w:lineRule="exact"/>
              <w:jc w:val="center"/>
            </w:pPr>
            <w:r>
              <w:rPr>
                <w:rFonts w:ascii="宋体" w:hAnsi="宋体" w:eastAsia="宋体" w:cs="宋体"/>
                <w:color w:val="000000"/>
                <w:sz w:val="21"/>
              </w:rPr>
              <w:t>2</w:t>
            </w:r>
          </w:p>
        </w:tc>
        <w:tc>
          <w:tcPr>
            <w:tcW w:w="1394" w:type="dxa"/>
            <w:tcBorders>
              <w:top w:val="single" w:color="auto" w:sz="6" w:space="0"/>
              <w:left w:val="single" w:color="auto" w:sz="6" w:space="0"/>
              <w:bottom w:val="nil"/>
              <w:right w:val="nil"/>
            </w:tcBorders>
            <w:tcMar>
              <w:top w:w="20" w:type="dxa"/>
              <w:left w:w="20" w:type="dxa"/>
              <w:bottom w:w="20" w:type="dxa"/>
              <w:right w:w="20" w:type="dxa"/>
            </w:tcMar>
            <w:vAlign w:val="center"/>
          </w:tcPr>
          <w:p w14:paraId="0DB8E12B">
            <w:pPr>
              <w:wordWrap w:val="0"/>
            </w:pPr>
          </w:p>
        </w:tc>
        <w:tc>
          <w:tcPr>
            <w:tcW w:w="1343" w:type="dxa"/>
            <w:tcBorders>
              <w:top w:val="single" w:color="auto" w:sz="6" w:space="0"/>
              <w:left w:val="single" w:color="auto" w:sz="6" w:space="0"/>
              <w:bottom w:val="nil"/>
              <w:right w:val="nil"/>
            </w:tcBorders>
            <w:tcMar>
              <w:top w:w="20" w:type="dxa"/>
              <w:left w:w="20" w:type="dxa"/>
              <w:bottom w:w="20" w:type="dxa"/>
              <w:right w:w="20" w:type="dxa"/>
            </w:tcMar>
            <w:vAlign w:val="center"/>
          </w:tcPr>
          <w:p w14:paraId="50600A86">
            <w:pPr>
              <w:wordWrap w:val="0"/>
            </w:pPr>
          </w:p>
        </w:tc>
        <w:tc>
          <w:tcPr>
            <w:tcW w:w="588" w:type="dxa"/>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6355A647">
            <w:pPr>
              <w:wordWrap w:val="0"/>
            </w:pPr>
          </w:p>
        </w:tc>
      </w:tr>
      <w:tr w14:paraId="248995B3">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gridAfter w:val="1"/>
          <w:wAfter w:w="130" w:type="dxa"/>
          <w:trHeight w:val="600" w:hRule="atLeast"/>
          <w:jc w:val="center"/>
        </w:trPr>
        <w:tc>
          <w:tcPr>
            <w:tcW w:w="1868" w:type="dxa"/>
            <w:gridSpan w:val="2"/>
            <w:tcBorders>
              <w:top w:val="single" w:color="auto" w:sz="6" w:space="0"/>
              <w:left w:val="single" w:color="auto" w:sz="6" w:space="0"/>
              <w:bottom w:val="nil"/>
              <w:right w:val="nil"/>
            </w:tcBorders>
            <w:tcMar>
              <w:top w:w="20" w:type="dxa"/>
              <w:left w:w="20" w:type="dxa"/>
              <w:bottom w:w="20" w:type="dxa"/>
              <w:right w:w="20" w:type="dxa"/>
            </w:tcMar>
            <w:vAlign w:val="center"/>
          </w:tcPr>
          <w:p w14:paraId="220235A6">
            <w:pPr>
              <w:wordWrap w:val="0"/>
              <w:spacing w:after="0" w:line="378" w:lineRule="exact"/>
              <w:jc w:val="center"/>
            </w:pPr>
            <w:r>
              <w:rPr>
                <w:rFonts w:ascii="宋体" w:hAnsi="宋体" w:eastAsia="宋体" w:cs="宋体"/>
                <w:color w:val="000000"/>
                <w:sz w:val="21"/>
              </w:rPr>
              <w:t>报价（总价）</w:t>
            </w:r>
          </w:p>
        </w:tc>
        <w:tc>
          <w:tcPr>
            <w:tcW w:w="7587" w:type="dxa"/>
            <w:gridSpan w:val="8"/>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4C9091FB">
            <w:pPr>
              <w:wordWrap w:val="0"/>
              <w:jc w:val="left"/>
            </w:pPr>
            <w:r>
              <w:rPr>
                <w:rFonts w:ascii="宋体" w:hAnsi="宋体" w:eastAsia="宋体" w:cs="宋体"/>
                <w:color w:val="000000"/>
                <w:sz w:val="21"/>
              </w:rPr>
              <w:t>人民币：大写 __________（￥ __________ 元）</w:t>
            </w:r>
          </w:p>
        </w:tc>
      </w:tr>
      <w:tr w14:paraId="7F787BFB">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gridAfter w:val="1"/>
          <w:wAfter w:w="130" w:type="dxa"/>
          <w:trHeight w:val="600" w:hRule="atLeast"/>
          <w:jc w:val="center"/>
        </w:trPr>
        <w:tc>
          <w:tcPr>
            <w:tcW w:w="1868" w:type="dxa"/>
            <w:gridSpan w:val="2"/>
            <w:tcBorders>
              <w:top w:val="single" w:color="auto" w:sz="6" w:space="0"/>
              <w:left w:val="single" w:color="auto" w:sz="6" w:space="0"/>
              <w:bottom w:val="nil"/>
              <w:right w:val="nil"/>
            </w:tcBorders>
            <w:tcMar>
              <w:top w:w="20" w:type="dxa"/>
              <w:left w:w="20" w:type="dxa"/>
              <w:bottom w:w="20" w:type="dxa"/>
              <w:right w:w="20" w:type="dxa"/>
            </w:tcMar>
            <w:vAlign w:val="center"/>
          </w:tcPr>
          <w:p w14:paraId="223AA95C">
            <w:pPr>
              <w:wordWrap w:val="0"/>
              <w:spacing w:after="0" w:line="378" w:lineRule="exact"/>
              <w:jc w:val="center"/>
            </w:pPr>
            <w:r>
              <w:rPr>
                <w:rFonts w:ascii="宋体" w:hAnsi="宋体" w:eastAsia="宋体" w:cs="宋体"/>
                <w:color w:val="000000"/>
                <w:sz w:val="21"/>
              </w:rPr>
              <w:t>供应商是否属于</w:t>
            </w:r>
          </w:p>
          <w:p w14:paraId="06B5B386">
            <w:pPr>
              <w:wordWrap w:val="0"/>
              <w:spacing w:before="0" w:after="0" w:line="378" w:lineRule="exact"/>
              <w:jc w:val="center"/>
            </w:pPr>
            <w:r>
              <w:rPr>
                <w:rFonts w:ascii="宋体" w:hAnsi="宋体" w:eastAsia="宋体" w:cs="宋体"/>
                <w:color w:val="000000"/>
                <w:sz w:val="21"/>
              </w:rPr>
              <w:t>小微型企业</w:t>
            </w:r>
          </w:p>
        </w:tc>
        <w:tc>
          <w:tcPr>
            <w:tcW w:w="7587" w:type="dxa"/>
            <w:gridSpan w:val="8"/>
            <w:tcBorders>
              <w:top w:val="single" w:color="auto" w:sz="6" w:space="0"/>
              <w:left w:val="single" w:color="auto" w:sz="6" w:space="0"/>
              <w:bottom w:val="nil"/>
              <w:right w:val="single" w:color="auto" w:sz="6" w:space="0"/>
            </w:tcBorders>
            <w:tcMar>
              <w:top w:w="20" w:type="dxa"/>
              <w:left w:w="20" w:type="dxa"/>
              <w:bottom w:w="20" w:type="dxa"/>
              <w:right w:w="20" w:type="dxa"/>
            </w:tcMar>
            <w:vAlign w:val="center"/>
          </w:tcPr>
          <w:p w14:paraId="2A58C213">
            <w:pPr>
              <w:wordWrap w:val="0"/>
              <w:jc w:val="left"/>
            </w:pPr>
            <w:r>
              <w:rPr>
                <w:rFonts w:ascii="宋体" w:hAnsi="宋体" w:eastAsia="宋体" w:cs="宋体"/>
                <w:color w:val="000000"/>
                <w:sz w:val="21"/>
              </w:rPr>
              <w:t>（填写“是”或“否”）</w:t>
            </w:r>
          </w:p>
        </w:tc>
      </w:tr>
      <w:tr w14:paraId="467F9B0A">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atLeast"/>
          <w:jc w:val="center"/>
        </w:trPr>
        <w:tc>
          <w:tcPr>
            <w:tcW w:w="4717" w:type="dxa"/>
            <w:gridSpan w:val="5"/>
            <w:tcBorders>
              <w:top w:val="nil"/>
              <w:left w:val="nil"/>
              <w:bottom w:val="nil"/>
              <w:right w:val="nil"/>
            </w:tcBorders>
            <w:tcMar>
              <w:top w:w="20" w:type="dxa"/>
              <w:left w:w="20" w:type="dxa"/>
              <w:bottom w:w="20" w:type="dxa"/>
              <w:right w:w="20" w:type="dxa"/>
            </w:tcMar>
            <w:vAlign w:val="bottom"/>
          </w:tcPr>
          <w:p w14:paraId="0C6671B6">
            <w:pPr>
              <w:wordWrap w:val="0"/>
              <w:spacing w:after="0" w:line="378" w:lineRule="exact"/>
              <w:jc w:val="left"/>
            </w:pPr>
            <w:r>
              <w:rPr>
                <w:rFonts w:ascii="宋体" w:hAnsi="宋体" w:eastAsia="宋体" w:cs="宋体"/>
                <w:color w:val="000000"/>
                <w:sz w:val="21"/>
              </w:rPr>
              <w:t>注：</w:t>
            </w:r>
          </w:p>
        </w:tc>
        <w:tc>
          <w:tcPr>
            <w:tcW w:w="1413" w:type="dxa"/>
            <w:gridSpan w:val="2"/>
            <w:tcBorders>
              <w:top w:val="nil"/>
              <w:left w:val="nil"/>
              <w:bottom w:val="nil"/>
              <w:right w:val="nil"/>
            </w:tcBorders>
            <w:tcMar>
              <w:top w:w="20" w:type="dxa"/>
              <w:left w:w="20" w:type="dxa"/>
              <w:bottom w:w="20" w:type="dxa"/>
              <w:right w:w="20" w:type="dxa"/>
            </w:tcMar>
            <w:vAlign w:val="bottom"/>
          </w:tcPr>
          <w:p w14:paraId="64821C0E">
            <w:pPr>
              <w:wordWrap w:val="0"/>
            </w:pPr>
          </w:p>
        </w:tc>
        <w:tc>
          <w:tcPr>
            <w:tcW w:w="3455" w:type="dxa"/>
            <w:gridSpan w:val="4"/>
            <w:tcBorders>
              <w:top w:val="nil"/>
              <w:left w:val="nil"/>
              <w:bottom w:val="nil"/>
              <w:right w:val="nil"/>
            </w:tcBorders>
            <w:tcMar>
              <w:top w:w="20" w:type="dxa"/>
              <w:left w:w="20" w:type="dxa"/>
              <w:bottom w:w="20" w:type="dxa"/>
              <w:right w:w="20" w:type="dxa"/>
            </w:tcMar>
            <w:vAlign w:val="bottom"/>
          </w:tcPr>
          <w:p w14:paraId="278201B2">
            <w:pPr>
              <w:wordWrap w:val="0"/>
            </w:pPr>
          </w:p>
        </w:tc>
      </w:tr>
    </w:tbl>
    <w:p w14:paraId="6A452D3E">
      <w:pPr>
        <w:wordWrap w:val="0"/>
        <w:spacing w:after="0" w:line="378" w:lineRule="exact"/>
        <w:jc w:val="left"/>
      </w:pPr>
    </w:p>
    <w:p w14:paraId="6A6EBBF8">
      <w:pPr>
        <w:spacing w:before="0" w:after="0" w:line="765" w:lineRule="exact"/>
      </w:pPr>
    </w:p>
    <w:tbl>
      <w:tblPr>
        <w:tblStyle w:val="2"/>
        <w:tblW w:w="9870" w:type="dxa"/>
        <w:tblInd w:w="0" w:type="dxa"/>
        <w:tblBorders>
          <w:top w:val="none" w:color="auto" w:sz="0" w:space="0"/>
          <w:left w:val="none" w:color="auto" w:sz="0" w:space="0"/>
          <w:bottom w:val="none" w:color="auto" w:sz="0" w:space="0"/>
          <w:right w:val="non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4860"/>
        <w:gridCol w:w="5010"/>
      </w:tblGrid>
      <w:tr w14:paraId="0DBE14F5">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atLeast"/>
        </w:trPr>
        <w:tc>
          <w:tcPr>
            <w:tcW w:w="4860" w:type="dxa"/>
            <w:tcBorders>
              <w:top w:val="nil"/>
              <w:left w:val="nil"/>
              <w:bottom w:val="nil"/>
              <w:right w:val="nil"/>
            </w:tcBorders>
            <w:tcMar>
              <w:top w:w="20" w:type="dxa"/>
              <w:left w:w="20" w:type="dxa"/>
              <w:bottom w:w="20" w:type="dxa"/>
              <w:right w:w="20" w:type="dxa"/>
            </w:tcMar>
            <w:vAlign w:val="center"/>
          </w:tcPr>
          <w:p w14:paraId="1A667676">
            <w:pPr>
              <w:wordWrap w:val="0"/>
              <w:jc w:val="left"/>
            </w:pPr>
            <w:r>
              <w:rPr>
                <w:rFonts w:ascii="宋体" w:hAnsi="宋体" w:eastAsia="宋体" w:cs="宋体"/>
                <w:color w:val="000000"/>
                <w:sz w:val="21"/>
              </w:rPr>
              <w:t>法定代表人或授权代表（签字）：</w:t>
            </w:r>
          </w:p>
        </w:tc>
        <w:tc>
          <w:tcPr>
            <w:tcW w:w="5010" w:type="dxa"/>
            <w:tcBorders>
              <w:top w:val="nil"/>
              <w:left w:val="nil"/>
              <w:bottom w:val="nil"/>
              <w:right w:val="nil"/>
            </w:tcBorders>
            <w:tcMar>
              <w:top w:w="20" w:type="dxa"/>
              <w:left w:w="20" w:type="dxa"/>
              <w:bottom w:w="20" w:type="dxa"/>
              <w:right w:w="20" w:type="dxa"/>
            </w:tcMar>
            <w:vAlign w:val="center"/>
          </w:tcPr>
          <w:p w14:paraId="4ACF1B1C">
            <w:pPr>
              <w:wordWrap w:val="0"/>
              <w:jc w:val="left"/>
            </w:pPr>
            <w:r>
              <w:rPr>
                <w:rFonts w:ascii="宋体" w:hAnsi="宋体" w:eastAsia="宋体" w:cs="宋体"/>
                <w:color w:val="000000"/>
                <w:sz w:val="21"/>
              </w:rPr>
              <w:t>供应商名称（公章）：</w:t>
            </w:r>
          </w:p>
        </w:tc>
      </w:tr>
      <w:tr w14:paraId="26519DF0">
        <w:tblPrEx>
          <w:tblBorders>
            <w:top w:val="none" w:color="auto" w:sz="0" w:space="0"/>
            <w:left w:val="none" w:color="auto" w:sz="0" w:space="0"/>
            <w:bottom w:val="none" w:color="auto" w:sz="0" w:space="0"/>
            <w:right w:val="none" w:color="auto" w:sz="0" w:space="0"/>
            <w:insideH w:val="single" w:color="auto" w:sz="0" w:space="0"/>
            <w:insideV w:val="single" w:color="auto" w:sz="0" w:space="0"/>
          </w:tblBorders>
          <w:tblCellMar>
            <w:top w:w="0" w:type="dxa"/>
            <w:left w:w="10" w:type="dxa"/>
            <w:bottom w:w="0" w:type="dxa"/>
            <w:right w:w="10" w:type="dxa"/>
          </w:tblCellMar>
        </w:tblPrEx>
        <w:trPr>
          <w:trHeight w:val="390" w:hRule="atLeast"/>
        </w:trPr>
        <w:tc>
          <w:tcPr>
            <w:tcW w:w="4860" w:type="dxa"/>
            <w:tcBorders>
              <w:top w:val="nil"/>
              <w:left w:val="nil"/>
              <w:bottom w:val="nil"/>
              <w:right w:val="nil"/>
            </w:tcBorders>
            <w:tcMar>
              <w:top w:w="20" w:type="dxa"/>
              <w:left w:w="20" w:type="dxa"/>
              <w:bottom w:w="20" w:type="dxa"/>
              <w:right w:w="20" w:type="dxa"/>
            </w:tcMar>
            <w:vAlign w:val="center"/>
          </w:tcPr>
          <w:p w14:paraId="40589463">
            <w:pPr>
              <w:wordWrap w:val="0"/>
              <w:jc w:val="left"/>
            </w:pPr>
            <w:r>
              <w:rPr>
                <w:rFonts w:ascii="宋体" w:hAnsi="宋体" w:eastAsia="宋体" w:cs="宋体"/>
                <w:color w:val="000000"/>
                <w:sz w:val="21"/>
              </w:rPr>
              <w:t xml:space="preserve">联系方式（手机）：  </w:t>
            </w:r>
          </w:p>
        </w:tc>
        <w:tc>
          <w:tcPr>
            <w:tcW w:w="5010" w:type="dxa"/>
            <w:tcBorders>
              <w:top w:val="nil"/>
              <w:left w:val="nil"/>
              <w:bottom w:val="nil"/>
              <w:right w:val="nil"/>
            </w:tcBorders>
            <w:tcMar>
              <w:top w:w="20" w:type="dxa"/>
              <w:left w:w="20" w:type="dxa"/>
              <w:bottom w:w="20" w:type="dxa"/>
              <w:right w:w="20" w:type="dxa"/>
            </w:tcMar>
            <w:vAlign w:val="center"/>
          </w:tcPr>
          <w:p w14:paraId="313EA7CF">
            <w:pPr>
              <w:wordWrap w:val="0"/>
              <w:jc w:val="left"/>
            </w:pPr>
            <w:r>
              <w:rPr>
                <w:rFonts w:ascii="宋体" w:hAnsi="宋体" w:eastAsia="宋体" w:cs="宋体"/>
                <w:color w:val="000000"/>
                <w:sz w:val="21"/>
              </w:rPr>
              <w:t>日期：     年     月    日</w:t>
            </w:r>
          </w:p>
        </w:tc>
      </w:tr>
    </w:tbl>
    <w:p w14:paraId="6284E215">
      <w:pPr>
        <w:spacing w:before="0" w:after="0" w:line="390" w:lineRule="exact"/>
      </w:pPr>
    </w:p>
    <w:p w14:paraId="6F4FE3E4">
      <w:pPr>
        <w:sectPr>
          <w:pgSz w:w="11907" w:h="16839"/>
          <w:pgMar w:top="1077" w:right="1154" w:bottom="1077" w:left="1154" w:header="720" w:footer="720" w:gutter="0"/>
          <w:cols w:space="720" w:num="1"/>
        </w:sectPr>
      </w:pPr>
    </w:p>
    <w:p w14:paraId="4FCC8364">
      <w:pPr>
        <w:wordWrap w:val="0"/>
        <w:spacing w:after="0" w:line="378" w:lineRule="exact"/>
        <w:jc w:val="left"/>
        <w:outlineLvl w:val="1"/>
      </w:pPr>
      <w:r>
        <w:rPr>
          <w:rFonts w:ascii="宋体" w:hAnsi="宋体" w:eastAsia="宋体" w:cs="宋体"/>
          <w:b/>
          <w:color w:val="000000"/>
          <w:sz w:val="21"/>
        </w:rPr>
        <w:t>附件四： 资格证明材料</w:t>
      </w:r>
    </w:p>
    <w:p w14:paraId="3C521912">
      <w:pPr>
        <w:wordWrap w:val="0"/>
        <w:spacing w:before="175" w:after="175"/>
        <w:jc w:val="center"/>
      </w:pPr>
      <w:r>
        <w:rPr>
          <w:rFonts w:ascii="宋体" w:hAnsi="宋体" w:eastAsia="宋体" w:cs="宋体"/>
          <w:b/>
          <w:color w:val="000000"/>
          <w:sz w:val="28"/>
        </w:rPr>
        <w:t>资格证明材料</w:t>
      </w:r>
    </w:p>
    <w:p w14:paraId="55CA9700">
      <w:pPr>
        <w:spacing w:before="0" w:after="0" w:line="165" w:lineRule="exact"/>
      </w:pPr>
    </w:p>
    <w:p w14:paraId="403CC187">
      <w:pPr>
        <w:wordWrap w:val="0"/>
        <w:spacing w:after="0" w:line="378" w:lineRule="exact"/>
        <w:ind w:firstLineChars="200"/>
        <w:jc w:val="left"/>
      </w:pPr>
      <w:r>
        <w:rPr>
          <w:rFonts w:ascii="宋体" w:hAnsi="宋体" w:eastAsia="宋体" w:cs="宋体"/>
          <w:color w:val="000000"/>
          <w:sz w:val="21"/>
        </w:rPr>
        <w:t>1、具有独立承担民事责任的能力，须提供在中国境内（除香港、澳门及台湾地区外）注册的法人或其他组织的营业执照等证明文件复印件，如自然人直接参与的，须提供自然人身份证复印件；</w:t>
      </w:r>
    </w:p>
    <w:p w14:paraId="2AB1C2CE">
      <w:pPr>
        <w:wordWrap w:val="0"/>
        <w:spacing w:before="0" w:after="0" w:line="378" w:lineRule="exact"/>
        <w:ind w:firstLineChars="200"/>
        <w:jc w:val="left"/>
      </w:pPr>
      <w:r>
        <w:rPr>
          <w:rFonts w:ascii="宋体" w:hAnsi="宋体" w:eastAsia="宋体" w:cs="宋体"/>
          <w:color w:val="000000"/>
          <w:sz w:val="21"/>
        </w:rPr>
        <w:t>2、具有履行合同所必需的设备和专业技术能力，须提供相关证明（说明）材料，内容自拟，供应商对所提供材料的真实性负责；</w:t>
      </w:r>
    </w:p>
    <w:p w14:paraId="3405EF85">
      <w:pPr>
        <w:wordWrap w:val="0"/>
        <w:spacing w:before="0" w:after="0" w:line="378" w:lineRule="exact"/>
        <w:ind w:firstLineChars="200"/>
        <w:jc w:val="left"/>
      </w:pPr>
      <w:r>
        <w:rPr>
          <w:rFonts w:ascii="宋体" w:hAnsi="宋体" w:eastAsia="宋体" w:cs="宋体"/>
          <w:color w:val="000000"/>
          <w:sz w:val="21"/>
        </w:rPr>
        <w:t>3、未被“信用中国”网站(www.creditchina.gov.cn)列入失信被执行人、重大税收违法案件当事人名单；未被“中国政府采购网”(www.ccgp.gov.cn)列入政府采购严重违法失信行为记录名单。</w:t>
      </w:r>
    </w:p>
    <w:p w14:paraId="590D873A">
      <w:pPr>
        <w:wordWrap w:val="0"/>
        <w:spacing w:before="0" w:after="0" w:line="378" w:lineRule="exact"/>
        <w:ind w:firstLineChars="200"/>
        <w:jc w:val="left"/>
      </w:pPr>
      <w:r>
        <w:rPr>
          <w:rFonts w:ascii="宋体" w:hAnsi="宋体" w:eastAsia="宋体" w:cs="宋体"/>
          <w:color w:val="000000"/>
          <w:sz w:val="21"/>
        </w:rPr>
        <w:t>4、无。</w:t>
      </w:r>
    </w:p>
    <w:p w14:paraId="6E02E3B1">
      <w:pPr>
        <w:spacing w:before="0" w:after="0" w:line="285" w:lineRule="exact"/>
      </w:pPr>
    </w:p>
    <w:sectPr>
      <w:pgSz w:w="11907" w:h="16839"/>
      <w:pgMar w:top="1077" w:right="1154" w:bottom="1077" w:left="115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5F2CE">
    <w:pPr>
      <w:jc w:val="center"/>
    </w:pPr>
    <w:r>
      <w:fldChar w:fldCharType="begin"/>
    </w:r>
    <w:r>
      <w:instrText xml:space="preserve">PAGE   \* MERGEFORMAT</w:instrText>
    </w:r>
    <w:r>
      <w:fldChar w:fldCharType="separate"/>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B5BE1">
    <w:pPr>
      <w:pBdr>
        <w:bottom w:val="single" w:color="auto" w:sz="2" w:space="0"/>
      </w:pBdr>
      <w:spacing w:afterLines="50"/>
    </w:pPr>
    <w:r>
      <w:t>湖州师范学院</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compat>
    <w:useFELayout/>
    <w:splitPgBreakAndParaMark/>
    <w:compatSetting w:name="compatibilityMode" w:uri="http://schemas.microsoft.com/office/word" w:val="12"/>
  </w:compat>
  <w:rsids>
    <w:rsidRoot w:val="00000000"/>
    <w:rsid w:val="1F5F1AF7"/>
    <w:rsid w:val="268742EA"/>
    <w:rsid w:val="67A4520B"/>
    <w:rsid w:val="72E01C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8664</Words>
  <Characters>9315</Characters>
  <TotalTime>5</TotalTime>
  <ScaleCrop>false</ScaleCrop>
  <LinksUpToDate>false</LinksUpToDate>
  <CharactersWithSpaces>9916</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2025-10-23T00:58:00Z</dcterms:created>
  <dc:creator>Apache POI</dc:creator>
  <cp:lastModifiedBy>叫我小强好了</cp:lastModifiedBy>
  <dcterms:modified xsi:type="dcterms:W3CDTF">2025-10-27T02:32:36Z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eyJoZGlkIjoiNDhmYTcyMmZiMDk2YzJmNjU0Y2I1YzE5MTg1MjQ0OWQiLCJ1c2VySWQiOiI1ODQ5NjU3MzAifQ==</vt:lpwstr>
  </property>
  <property fmtid="{D5CDD505-2E9C-101B-9397-08002B2CF9AE}" pid="3" name="KSOProductBuildVer">
    <vt:lpwstr>2052-12.1.0.23125</vt:lpwstr>
  </property>
  <property fmtid="{D5CDD505-2E9C-101B-9397-08002B2CF9AE}" pid="4" name="ICV">
    <vt:lpwstr>154C9190D78C4B9198693E859AB5EE38_12</vt:lpwstr>
  </property>
</Properties>
</file>