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ZJHU20250924047</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湖州师范学院东校区公寓区环境提升建设项目</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工程类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2025年09月24日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2025年09月30日 10时00分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ZJHU20250924047</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湖州师范学院东校区公寓区环境提升建设项目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34.5822</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最高限价(固定单价)：34.5822万元，超过最高限价的报价为无效报价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为满足学生日常微运动、微健身、微交流、微休憩的需求，打造东校区公寓区社区型育人新空间，打造集运动健康、社交学习、文化浸润为一体的环境育人的新站点。</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合同签订后，于2025年11月20日前竣工。</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市政公用工程施工总承包三级及以上资质。</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须上传经工商部门通过年检的企业法人营业执照副本、法人授权委托书、法人及被授权人身份证、市政公用工程施工总承包三级及以上资质证书复印件、浙江省外进浙企业须经备案相关证明资料复印件。（所有上传材料需加盖公章）</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2025年09月29日 10时00分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2025年09月30日 10时00分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2025年09月30日 10时00分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after="0" w:lineRule="exact" w:line="378"/>
        <w:ind w:firstLineChars="150"/>
        <w:jc w:val="left"/>
      </w:pPr>
      <w:r>
        <w:rPr>
          <w:rFonts w:ascii="宋体" w:hAnsi="宋体" w:cs="宋体" w:eastAsia="宋体"/>
          <w:color w:val="000000"/>
          <w:sz w:val="21"/>
        </w:rPr>
        <w:t>投标人无需委派代表到开标现场，建议以快递的形式寄送投标文件，为确保快递时效请优先考虑顺丰快递。收件人信息：湖州师范学院东校区明达楼207室，张老师，0572-2322188。</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采购人组织现场踏勘日期为2025年9月29日10:00（需提前电话预约），联系人：马老师，联系电话：0572-2321098。</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马老师/张老师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2321098/2322188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0572-2321567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2025年09月24日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《商务条款偏离表》（格式见附件）；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提供施工项目负责人、施工项目专职安全生产管理人员、施工技术负责人、施工员、质检员、材料员、资料员一览表（包括姓名、职务、身份证号、专业技术资格、证书编号、参加本单位工作时间、联系手机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施工项目负责人资质等级：注册于投标人单位的建筑工程二级注册建造师及以上资质（浙江省外供应商项目负责人须经进浙备案），并具有有效的安全生产考核合格B类证书，并提供在投标人单位近三个月缴纳社保的凭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8.10 施工项目专职安全生产管理人员不少于一名，并具有有效的安全生产考核合格C类证书，并提供在投标人单位近三个月缴纳社保的凭证。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8.11 施工技术负责人：工程类中级及以上技术职称；施工员、质检员、材料员、资料员，并提供在投标人单位近三个月缴纳社保的凭证。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8.12 施工安全和保修服务承诺书（含工期、质保期等）。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正本1份，副本1份。（胶装成册，拒收活页装订，密封包装。）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19.1.1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19.1.2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19.1.3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19.1.4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spacing w:before="0" w:after="0" w:lineRule="exact" w:line="195"/>
      </w:pP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、技术参数（标准）</w:t>
      </w:r>
    </w:p>
    <w:p>
      <w:pPr>
        <w:wordWrap w:val="off"/>
        <w:spacing w:lineRule="exact" w:line="378"/>
        <w:jc w:val="left"/>
      </w:pPr>
      <w:r>
        <w:rPr>
          <w:rFonts w:ascii="SimSun" w:hAnsi="SimSun" w:cs="SimSun" w:eastAsia="SimSun"/>
          <w:b w:val="true"/>
          <w:color w:val="000000"/>
          <w:sz w:val="21"/>
        </w:rPr>
        <w:t>（一）项目内容（具体以附件工程量清单为准）</w:t>
      </w:r>
    </w:p>
    <w:p>
      <w:pPr>
        <w:wordWrap w:val="off"/>
        <w:spacing w:lineRule="exact" w:line="378"/>
        <w:jc w:val="left"/>
      </w:pPr>
      <w:r>
        <w:rPr>
          <w:rFonts w:ascii="SimSun" w:hAnsi="SimSun" w:cs="SimSun" w:eastAsia="SimSun"/>
          <w:color w:val="000000"/>
          <w:sz w:val="21"/>
        </w:rPr>
        <w:t>1.步道建设：东校区公寓区东侧地面原有车棚拆除，地面平整，基层下挖，路床碾压整形后彩色强固透水性混凝土道路施工，整体宽度1.3m，含两侧15cm宽毛面火烧面花岗岩平石；道路两侧安装16套LED太阳能草坪灯，成品不锈钢腿坐凳安装4套，菠萝格实木椅面及靠背，周边原有集水井及电缆井复合井盖更换为铸铁井盖；</w:t>
      </w:r>
    </w:p>
    <w:p>
      <w:pPr>
        <w:wordWrap w:val="off"/>
        <w:spacing w:lineRule="exact" w:line="378"/>
        <w:jc w:val="left"/>
      </w:pPr>
      <w:r>
        <w:rPr>
          <w:rFonts w:ascii="SimSun" w:hAnsi="SimSun" w:cs="SimSun" w:eastAsia="SimSun"/>
          <w:color w:val="000000"/>
          <w:sz w:val="21"/>
        </w:rPr>
        <w:t>2.廊架区域：29幢东北侧地面原有植被清理，素土夯实平整，地面30厚200*600mm芝麻白荔枝面花岗岩铺设，周边40厚150*900mm芝麻灰火烧面花岗岩侧石安装，地面放置3个异形泰克石座凳；廊架主体为钢结构，设立3根Q355镀锌钢柱作为支撑（底部Φ220，顶部Φ140，壁厚18mm），表面白色氟碳漆，Φ2000*1400mmC25独立混凝土基础预埋25厚450×450镀锌钢板，顶部架构为60×40铝合金方通,壁厚2.5mm，表面木纹漆；</w:t>
      </w:r>
    </w:p>
    <w:p>
      <w:pPr>
        <w:wordWrap w:val="off"/>
        <w:spacing w:lineRule="exact" w:line="378"/>
        <w:jc w:val="left"/>
      </w:pPr>
      <w:r>
        <w:rPr>
          <w:rFonts w:ascii="SimSun" w:hAnsi="SimSun" w:cs="SimSun" w:eastAsia="SimSun"/>
          <w:color w:val="000000"/>
          <w:sz w:val="21"/>
        </w:rPr>
        <w:t>3.绿化区域：步道周边及A34幢北侧靠围墙区域绿地细平整共计约911㎡，更换优质种植土约277.30m³；</w:t>
      </w:r>
    </w:p>
    <w:p>
      <w:pPr>
        <w:wordWrap w:val="off"/>
        <w:spacing w:lineRule="exact" w:line="378"/>
        <w:jc w:val="left"/>
      </w:pPr>
      <w:r>
        <w:rPr>
          <w:rFonts w:ascii="SimSun" w:hAnsi="SimSun" w:cs="SimSun" w:eastAsia="SimSun"/>
          <w:color w:val="000000"/>
          <w:sz w:val="21"/>
        </w:rPr>
        <w:t>步道周边区域栽植珊瑚木绿篱34m（29幢北侧水箱及道路口），铺种矮生百慕大草坪300㎡；</w:t>
      </w:r>
    </w:p>
    <w:p>
      <w:pPr>
        <w:wordWrap w:val="off"/>
        <w:spacing w:lineRule="exact" w:line="378"/>
        <w:jc w:val="left"/>
      </w:pPr>
      <w:r>
        <w:rPr>
          <w:rFonts w:ascii="SimSun" w:hAnsi="SimSun" w:cs="SimSun" w:eastAsia="SimSun"/>
          <w:color w:val="000000"/>
          <w:sz w:val="21"/>
        </w:rPr>
        <w:t>A34幢北侧靠围墙区域设立0.6m高绿化带护栏，道路靠围墙处设立9.6*0.5*0.8m成品铝合金花箱（分段式），靠围墙栽植珊瑚木绿篱66m，杜鹃102㎡，金森女贞52㎡，书带草412㎡；</w:t>
      </w:r>
    </w:p>
    <w:p>
      <w:pPr>
        <w:wordWrap w:val="off"/>
        <w:spacing w:lineRule="exact" w:line="378"/>
        <w:jc w:val="left"/>
      </w:pPr>
      <w:r>
        <w:rPr>
          <w:rFonts w:ascii="SimSun" w:hAnsi="SimSun" w:cs="SimSun" w:eastAsia="SimSun"/>
          <w:b w:val="true"/>
          <w:color w:val="000000"/>
          <w:sz w:val="21"/>
        </w:rPr>
        <w:t>（二）品牌推荐（以下材料三选一，标注于主要材料价格表中，未注明的由业主在以下材料任选其一）：</w:t>
      </w:r>
    </w:p>
    <w:p>
      <w:pPr>
        <w:wordWrap w:val="off"/>
        <w:spacing w:lineRule="exact" w:line="378"/>
        <w:jc w:val="left"/>
      </w:pPr>
      <w:r>
        <w:rPr>
          <w:rFonts w:ascii="SimSun" w:hAnsi="SimSun" w:cs="SimSun" w:eastAsia="SimSun"/>
          <w:color w:val="000000"/>
          <w:sz w:val="21"/>
        </w:rPr>
        <w:t>（1）钢材：永钢、中天、杭钢；</w:t>
      </w:r>
    </w:p>
    <w:p>
      <w:pPr>
        <w:wordWrap w:val="off"/>
        <w:spacing w:lineRule="exact" w:line="378"/>
        <w:jc w:val="left"/>
      </w:pPr>
      <w:r>
        <w:rPr>
          <w:rFonts w:ascii="SimSun" w:hAnsi="SimSun" w:cs="SimSun" w:eastAsia="SimSun"/>
          <w:color w:val="000000"/>
          <w:sz w:val="21"/>
        </w:rPr>
        <w:t>（2）电线、电缆：湖州久盛、江苏亨通、杭州中策；</w:t>
      </w:r>
    </w:p>
    <w:p>
      <w:pPr>
        <w:wordWrap w:val="off"/>
        <w:spacing w:lineRule="exact" w:line="378"/>
        <w:jc w:val="left"/>
      </w:pPr>
      <w:r>
        <w:rPr>
          <w:rFonts w:ascii="SimSun" w:hAnsi="SimSun" w:cs="SimSun" w:eastAsia="SimSun"/>
          <w:color w:val="000000"/>
          <w:sz w:val="21"/>
          <w:highlight w:val="none"/>
        </w:rPr>
        <w:t>中标人不得使用假冒伪劣产品（包括贴牌产品），如使用，按《中华人民共和国消费者权益保护法》执行，中标人须按照采购人要求无条件进行更换，相应损失由中标人自行承担。</w:t>
      </w:r>
    </w:p>
    <w:p>
      <w:pPr>
        <w:wordWrap w:val="off"/>
        <w:spacing w:lineRule="exact" w:line="378"/>
        <w:jc w:val="left"/>
      </w:pPr>
      <w:r>
        <w:rPr>
          <w:rFonts w:ascii="SimSun" w:hAnsi="SimSun" w:cs="SimSun" w:eastAsia="SimSun"/>
          <w:b w:val="true"/>
          <w:color w:val="000000"/>
          <w:sz w:val="21"/>
        </w:rPr>
        <w:t>（三）相关说明</w:t>
      </w:r>
    </w:p>
    <w:p>
      <w:pPr>
        <w:wordWrap w:val="off"/>
        <w:spacing w:lineRule="exact" w:line="378"/>
        <w:jc w:val="left"/>
      </w:pPr>
      <w:r>
        <w:rPr>
          <w:rFonts w:ascii="SimSun" w:hAnsi="SimSun" w:cs="SimSun" w:eastAsia="SimSun"/>
          <w:color w:val="000000"/>
          <w:sz w:val="21"/>
        </w:rPr>
        <w:t>1.清单说明中的工作内容描述是主要工作内容，其他辅助工作内容投标人自行考虑，并计入综合单价及合价。</w:t>
      </w:r>
    </w:p>
    <w:p>
      <w:pPr>
        <w:wordWrap w:val="off"/>
        <w:spacing w:lineRule="exact" w:line="378"/>
        <w:jc w:val="left"/>
      </w:pPr>
      <w:r>
        <w:rPr>
          <w:rFonts w:ascii="SimSun" w:hAnsi="SimSun" w:cs="SimSun" w:eastAsia="SimSun"/>
          <w:color w:val="000000"/>
          <w:sz w:val="21"/>
        </w:rPr>
        <w:t>2.材料样式、颜色需由甲方、设计、监理认可后施工。</w:t>
      </w:r>
    </w:p>
    <w:p>
      <w:pPr>
        <w:wordWrap w:val="off"/>
        <w:spacing w:lineRule="exact" w:line="378"/>
        <w:jc w:val="left"/>
      </w:pPr>
      <w:r>
        <w:rPr>
          <w:rFonts w:ascii="SimSun" w:hAnsi="SimSun" w:cs="SimSun" w:eastAsia="SimSun"/>
          <w:color w:val="000000"/>
          <w:sz w:val="21"/>
        </w:rPr>
        <w:t>3.工程量清单应与投标须知、合同条款、技术规范及图纸等文件结合理解或解释。分部分项工程量清单中的工程量是按实物净量计算的，一切损耗均应在投标报价的综合单价中考虑。</w:t>
      </w:r>
    </w:p>
    <w:p>
      <w:pPr>
        <w:wordWrap w:val="off"/>
        <w:spacing w:lineRule="exact" w:line="378"/>
        <w:jc w:val="left"/>
      </w:pPr>
      <w:r>
        <w:rPr>
          <w:rFonts w:ascii="SimSun" w:hAnsi="SimSun" w:cs="SimSun" w:eastAsia="SimSun"/>
          <w:color w:val="000000"/>
          <w:sz w:val="21"/>
        </w:rPr>
        <w:t>4.单项目特征现场施工主要内容，对于没有在清单中列出的工作内容或清单中项目特征如有描述不清或未描述详尽的（无法用文字表述详尽），投标人结合施工图纸、清单编码、相关图集要求进行报价；投标人综合单价组价时必须依据施工规范综合考虑，综合单价应包含了这一计量单位项目范围内的所有工作内容所需的直接费、企业管理费、利润以及风险等所有费用。</w:t>
      </w:r>
    </w:p>
    <w:p>
      <w:pPr>
        <w:wordWrap w:val="off"/>
        <w:spacing w:lineRule="exact" w:line="378"/>
        <w:jc w:val="left"/>
      </w:pPr>
      <w:r>
        <w:rPr>
          <w:rFonts w:ascii="SimSun" w:hAnsi="SimSun" w:cs="SimSun" w:eastAsia="SimSun"/>
          <w:color w:val="000000"/>
          <w:sz w:val="21"/>
        </w:rPr>
        <w:t>5.措施项目清单所列措施项目内容仅供参考，投标人应根据工程实际情况和施工组织设计进行测算并入报价，今后不得调整；若今后工程实施中发生新的措施项目但投标文件未列入的项目，按投标人在风险费或其它项目中考虑，今后不得增加；措施项目清单计价表投标人可自行补充。</w:t>
      </w:r>
    </w:p>
    <w:p>
      <w:pPr>
        <w:wordWrap w:val="off"/>
        <w:spacing w:lineRule="exact" w:line="378"/>
        <w:jc w:val="left"/>
      </w:pPr>
      <w:r>
        <w:rPr>
          <w:rFonts w:ascii="SimSun" w:hAnsi="SimSun" w:cs="SimSun" w:eastAsia="SimSun"/>
          <w:color w:val="000000"/>
          <w:sz w:val="21"/>
        </w:rPr>
        <w:t>6.投标人需充分考虑施工影响因素，由此产生的费用计入投标报价中（详见招标工程清单编制说明）。</w:t>
      </w:r>
    </w:p>
    <w:p>
      <w:pPr>
        <w:wordWrap w:val="off"/>
        <w:spacing w:lineRule="exact" w:line="378"/>
        <w:jc w:val="left"/>
      </w:pPr>
      <w:r>
        <w:rPr>
          <w:rFonts w:ascii="SimSun" w:hAnsi="SimSun" w:cs="SimSun" w:eastAsia="SimSun"/>
          <w:color w:val="000000"/>
          <w:sz w:val="21"/>
          <w:highlight w:val="none"/>
        </w:rPr>
        <w:t>7.本工程暂列金人民币15000元列入市政项目中，用于本工程施工合同签订时尚未确定或者不可预见的所需材料、设备、服务的采购，施工中可能发生的工程变更、合同约定调整因素出现时的工程价款调整以及发生的索赔、现场签证确认等的费用。</w:t>
      </w: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1.中标人须严格按照湖州师范学院相关施工要求开展施工，明确施工方案，确保安全文明施工。</w:t>
      </w:r>
    </w:p>
    <w:p>
      <w:pPr>
        <w:wordWrap w:val="off"/>
        <w:spacing w:before="0" w:after="0" w:lineRule="exact" w:line="378"/>
        <w:jc w:val="left"/>
      </w:pPr>
      <w:r>
        <w:rPr>
          <w:rFonts w:ascii="宋体" w:hAnsi="宋体" w:cs="宋体" w:eastAsia="宋体"/>
          <w:color w:val="000000"/>
          <w:sz w:val="21"/>
        </w:rPr>
        <w:t>2.合同签订后于2025年11月20日前完成。</w:t>
      </w:r>
    </w:p>
    <w:p>
      <w:pPr>
        <w:wordWrap w:val="off"/>
        <w:spacing w:before="0" w:after="0" w:lineRule="exact" w:line="378"/>
        <w:jc w:val="left"/>
      </w:pPr>
      <w:r>
        <w:rPr>
          <w:rFonts w:ascii="宋体" w:hAnsi="宋体" w:cs="宋体" w:eastAsia="宋体"/>
          <w:color w:val="000000"/>
          <w:sz w:val="21"/>
        </w:rPr>
        <w:t>3.在本项目施工期间所引发的一切安全责任由中标人负责。</w:t>
      </w:r>
    </w:p>
    <w:p>
      <w:pPr>
        <w:wordWrap w:val="off"/>
        <w:spacing w:before="0" w:after="0" w:lineRule="exact" w:line="378"/>
        <w:jc w:val="left"/>
      </w:pPr>
      <w:r>
        <w:rPr>
          <w:rFonts w:ascii="宋体" w:hAnsi="宋体" w:cs="宋体" w:eastAsia="宋体"/>
          <w:color w:val="000000"/>
          <w:sz w:val="21"/>
        </w:rPr>
        <w:t>4.本项目工程质保期及绿植养护期自验收合格之日起两年，质保期内中标人应负责免费维修养护。按《中华人民共和国建筑法》、《建设工程质量管理条例》和《城市道路管理条例》等相关规定执行。</w:t>
      </w:r>
    </w:p>
    <w:p>
      <w:pPr>
        <w:wordWrap w:val="off"/>
        <w:spacing w:before="0" w:after="0" w:lineRule="exact" w:line="378"/>
        <w:jc w:val="left"/>
      </w:pPr>
      <w:r>
        <w:rPr>
          <w:rFonts w:ascii="宋体" w:hAnsi="宋体" w:cs="宋体" w:eastAsia="宋体"/>
          <w:color w:val="000000"/>
          <w:sz w:val="21"/>
        </w:rPr>
        <w:t>5.本项目实施人员每月在施工现场的时间要求：项目负责人及项目技术负责人的到位率必须达到月日历天数的85％以上，项目负责人及项目技术负责人到位率未达到月日历天数的85％的，按（月日历天数×85％ 减实际到位天数）×500元/天，在合同款中扣罚；中标人擅自更换投标文件中的项目负责人、项目技术负责人或不能按采购人要求的时间到位，作违约处理，采购人有权即时进行处理，解除合同、清退出场，已发生的费用由中标人自行承担。</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1.根据工程量清单项目特征进行验收。</w:t>
      </w:r>
    </w:p>
    <w:p>
      <w:pPr>
        <w:wordWrap w:val="off"/>
        <w:spacing w:before="0" w:after="0" w:lineRule="exact" w:line="378"/>
        <w:jc w:val="left"/>
      </w:pPr>
      <w:r>
        <w:rPr>
          <w:rFonts w:ascii="宋体" w:hAnsi="宋体" w:cs="宋体" w:eastAsia="宋体"/>
          <w:color w:val="000000"/>
          <w:sz w:val="21"/>
        </w:rPr>
        <w:t>2.本工程项目施工完成后，中标人应向采购人提交竣工验收申请、竣工报告、竣工结算书等相关资料，进行工程项目审计及采购人组织验收合格后，按合同约定付款。</w:t>
      </w:r>
    </w:p>
    <w:p>
      <w:pPr>
        <w:wordWrap w:val="off"/>
        <w:spacing w:after="0" w:lineRule="exact" w:line="503"/>
        <w:jc w:val="left"/>
        <w:outlineLvl w:val="1"/>
      </w:pPr>
      <w:r>
        <w:rPr>
          <w:rFonts w:ascii="宋体" w:hAnsi="宋体" w:cs="宋体" w:eastAsia="宋体"/>
          <w:b w:val="true"/>
          <w:color w:val="000000"/>
          <w:sz w:val="28"/>
        </w:rPr>
        <w:t>四</w:t>
      </w:r>
      <w:r>
        <w:rPr>
          <w:rFonts w:ascii="宋体" w:hAnsi="宋体" w:cs="宋体" w:eastAsia="宋体"/>
          <w:b w:val="true"/>
          <w:color w:val="000000"/>
          <w:sz w:val="28"/>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乙方应在本合同签订前向甲方指定账户缴纳合同暂定价款的【</w:t>
      </w:r>
      <w:r>
        <w:rPr>
          <w:rFonts w:ascii="宋体" w:hAnsi="宋体" w:cs="宋体" w:eastAsia="宋体"/>
          <w:color w:val="000000"/>
          <w:sz w:val="21"/>
        </w:rPr>
        <w:t>1</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元）作为本合同的履约保证金，工程竣工并经甲方验收合格后退还。</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1.工程竣工验收合格后支付至合同价的80％；</w:t>
      </w:r>
    </w:p>
    <w:p>
      <w:pPr>
        <w:wordWrap w:val="off"/>
        <w:spacing w:before="0" w:after="0" w:lineRule="exact" w:line="378"/>
        <w:jc w:val="left"/>
      </w:pPr>
      <w:r>
        <w:rPr>
          <w:rFonts w:ascii="宋体" w:hAnsi="宋体" w:cs="宋体" w:eastAsia="宋体"/>
          <w:color w:val="000000"/>
          <w:sz w:val="21"/>
        </w:rPr>
        <w:t>2.工程竣工验收合格后进行审计决算，审计决算后一次性支付至审定金额的100％。工程审计追加费用按浙价服[2009]84号文件计算，由中标人支付。</w:t>
      </w:r>
    </w:p>
    <w:p>
      <w:pPr>
        <w:wordWrap w:val="off"/>
        <w:spacing w:before="0" w:after="0" w:lineRule="exact" w:line="378"/>
        <w:jc w:val="left"/>
      </w:pPr>
      <w:r>
        <w:rPr>
          <w:rFonts w:ascii="宋体" w:hAnsi="宋体" w:cs="宋体" w:eastAsia="宋体"/>
          <w:color w:val="000000"/>
          <w:sz w:val="21"/>
        </w:rPr>
        <w:t>3.税费：本项目执行中相关的一切税费均由中标人负担。</w:t>
      </w:r>
    </w:p>
    <w:p>
      <w:pPr>
        <w:wordWrap w:val="off"/>
        <w:spacing w:before="0" w:after="0" w:lineRule="exact" w:line="378"/>
        <w:jc w:val="left"/>
      </w:pPr>
      <w:r>
        <w:rPr>
          <w:rFonts w:ascii="宋体" w:hAnsi="宋体" w:cs="宋体" w:eastAsia="宋体"/>
          <w:color w:val="000000"/>
          <w:sz w:val="21"/>
        </w:rPr>
        <w:t>4.本项目所涉及的所有工程量变更及最终的结算审计均采用在项目执行期内国家或地方政府颁发针对“浙江省建设工程计价依据(2018版)”的所有相关调价或调整政策。</w:t>
      </w: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均价中标法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　　　　　　　　　　　</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210"/>
      </w:pPr>
    </w:p>
    <w:p>
      <w:pPr>
        <w:wordWrap w:val="off"/>
        <w:spacing w:lineRule="exact" w:line="378"/>
        <w:jc w:val="left"/>
      </w:pPr>
      <w:r>
        <w:rPr>
          <w:rFonts w:ascii="SimSun" w:hAnsi="SimSun" w:cs="SimSun" w:eastAsia="SimSun"/>
          <w:color w:val="000000"/>
          <w:sz w:val="21"/>
        </w:rPr>
        <w:t>采购人按学校合同管理办法，参照国家工商行政管理局和建设部颁发的《建设工程施工合同》（GF—99—0201）“示范文本”专用条款内容，与中标人签订合同。</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附件二：商务条款响应及偏离表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附件三：相关资格证明材料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询价报价表</w:t>
      </w:r>
    </w:p>
    <w:p>
      <w:pPr>
        <w:wordWrap w:val="off"/>
        <w:spacing w:before="175" w:after="175"/>
        <w:jc w:val="center"/>
      </w:pPr>
      <w:r>
        <w:rPr>
          <w:rFonts w:ascii="宋体" w:hAnsi="宋体" w:cs="宋体" w:eastAsia="宋体"/>
          <w:b w:val="true"/>
          <w:color w:val="000000"/>
          <w:sz w:val="28"/>
        </w:rPr>
        <w:t>报价表</w:t>
      </w:r>
    </w:p>
    <w:p>
      <w:pPr>
        <w:spacing w:before="0" w:after="0" w:lineRule="exact" w:line="1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95"/>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工程名称</w:t>
            </w:r>
          </w:p>
        </w:tc>
        <w:tc>
          <w:tcPr>
            <w:hMerge w:val="continue"/>
            <w:tcBorders>
              <w:top w:val="single" w:sz="6"/>
              <w:left w:val="single" w:sz="6"/>
              <w:bottom w:val="nil"/>
              <w:right w:val="nil"/>
            </w:tcBorders>
          </w:tcPr>
          <w:p/>
        </w:tc>
        <w:tc>
          <w:tcPr>
            <w:tcW w:type="dxa" w:w="763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湖州师范学院东校区公寓区环境提升建设项目</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项目编号</w:t>
            </w:r>
          </w:p>
        </w:tc>
        <w:tc>
          <w:tcPr>
            <w:hMerge w:val="continue"/>
            <w:tcBorders>
              <w:top w:val="single" w:sz="6"/>
              <w:left w:val="single" w:sz="6"/>
              <w:bottom w:val="nil"/>
              <w:right w:val="nil"/>
            </w:tcBorders>
          </w:tcPr>
          <w:p/>
        </w:tc>
        <w:tc>
          <w:tcPr>
            <w:tcW w:type="dxa" w:w="763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ZJHU20250924047</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555"/>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固定单价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3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施工期限</w:t>
            </w:r>
          </w:p>
        </w:tc>
        <w:tc>
          <w:tcPr>
            <w:hMerge w:val="continue"/>
            <w:tcBorders>
              <w:top w:val="single" w:sz="6"/>
              <w:left w:val="single" w:sz="6"/>
              <w:bottom w:val="nil"/>
              <w:right w:val="nil"/>
            </w:tcBorders>
          </w:tc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合同签订后，</w:t>
            </w:r>
            <w:r>
              <w:rPr>
                <w:rFonts w:ascii="宋体" w:hAnsi="宋体" w:cs="宋体" w:eastAsia="宋体"/>
                <w:color w:val="000000"/>
                <w:sz w:val="21"/>
                <w:u w:val="single"/>
              </w:rPr>
              <w:t xml:space="preserve">       </w:t>
            </w:r>
            <w:r>
              <w:rPr>
                <w:rFonts w:ascii="宋体" w:hAnsi="宋体" w:cs="宋体" w:eastAsia="宋体"/>
                <w:color w:val="000000"/>
                <w:sz w:val="21"/>
              </w:rPr>
              <w:t>个日历日</w:t>
            </w:r>
          </w:p>
        </w:tc>
        <w:tc>
          <w:tcPr>
            <w:tcW w:type="dxa" w:w="1335"/>
            <w:tcBorders>
              <w:top w:val="single" w:sz="6"/>
              <w:left w:val="nil"/>
              <w:bottom w:val="nil"/>
              <w:right w:val="nil"/>
            </w:tcBorders>
            <w:tcMar>
              <w:top w:w="20" w:type="dxa"/>
              <w:left w:w="20" w:type="dxa"/>
              <w:bottom w:w="20" w:type="dxa"/>
              <w:right w:w="20" w:type="dxa"/>
            </w:tcMar>
            <w:vAlign w:val="center"/>
          </w:tcPr>
          <w:p>
            <w:pPr>
              <w:wordWrap w:val="off"/>
            </w:pPr>
          </w:p>
        </w:tc>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960"/>
            <w:tcBorders>
              <w:top w:val="single" w:sz="6"/>
              <w:left w:val="nil"/>
              <w:bottom w:val="nil"/>
              <w:right w:val="nil"/>
            </w:tcBorders>
            <w:tcMar>
              <w:top w:w="20" w:type="dxa"/>
              <w:left w:w="20" w:type="dxa"/>
              <w:bottom w:w="20" w:type="dxa"/>
              <w:right w:w="20" w:type="dxa"/>
            </w:tcMar>
            <w:vAlign w:val="center"/>
          </w:tcPr>
          <w:p>
            <w:pPr>
              <w:wordWrap w:val="off"/>
            </w:pPr>
          </w:p>
        </w:tc>
        <w:tc>
          <w:tcPr>
            <w:tcW w:type="dxa" w:w="93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1335"/>
            <w:tcBorders>
              <w:top w:val="single" w:sz="6"/>
              <w:left w:val="nil"/>
              <w:bottom w:val="nil"/>
              <w:right w:val="single" w:sz="6"/>
            </w:tcBorders>
            <w:tcMar>
              <w:top w:w="20" w:type="dxa"/>
              <w:left w:w="20" w:type="dxa"/>
              <w:bottom w:w="20" w:type="dxa"/>
              <w:right w:w="20" w:type="dxa"/>
            </w:tcMar>
            <w:vAlign w:val="center"/>
          </w:tcPr>
          <w:p>
            <w:pPr>
              <w:wordWrap w:val="off"/>
            </w:pPr>
          </w:p>
        </w:tc>
      </w:tr>
      <w:tr>
        <w:trPr>
          <w:trHeight w:val="495"/>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项目经理</w:t>
            </w:r>
          </w:p>
        </w:tc>
        <w:tc>
          <w:tcPr>
            <w:hMerge w:val="continue"/>
            <w:tcBorders>
              <w:top w:val="single" w:sz="6"/>
              <w:left w:val="single" w:sz="6"/>
              <w:bottom w:val="nil"/>
              <w:right w:val="nil"/>
            </w:tcBorders>
          </w:tcPr>
          <w:p/>
        </w:tc>
        <w:tc>
          <w:tcPr>
            <w:tcW w:type="dxa" w:w="763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1950"/>
            <w:hMerge w:val="restart"/>
            <w:tcBorders>
              <w:top w:val="single" w:sz="6"/>
              <w:left w:val="single" w:sz="6"/>
              <w:bottom w:val="single" w:sz="6"/>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执业证书信息</w:t>
            </w:r>
          </w:p>
        </w:tc>
        <w:tc>
          <w:tcPr>
            <w:hMerge w:val="continue"/>
            <w:tcBorders>
              <w:top w:val="single" w:sz="6"/>
              <w:left w:val="single" w:sz="6"/>
              <w:bottom w:val="single" w:sz="6"/>
              <w:right w:val="nil"/>
            </w:tcBorders>
          </w:tcPr>
          <w:p/>
        </w:tc>
        <w:tc>
          <w:tcPr>
            <w:tcW w:type="dxa" w:w="7635"/>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注：</w:t>
      </w:r>
    </w:p>
    <w:p>
      <w:pPr>
        <w:wordWrap w:val="off"/>
        <w:spacing w:after="0" w:lineRule="exact" w:line="378"/>
        <w:jc w:val="left"/>
      </w:pPr>
    </w:p>
    <w:p>
      <w:pPr>
        <w:spacing w:before="0" w:after="0" w:lineRule="exact" w:line="43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7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487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r>
        <w:trPr>
          <w:trHeight w:val="390"/>
        </w:trPr>
        <w:tc>
          <w:tcPr>
            <w:tcW w:type="dxa" w:w="337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335"/>
            <w:tcBorders>
              <w:top w:val="nil"/>
              <w:left w:val="nil"/>
              <w:bottom w:val="nil"/>
              <w:right w:val="nil"/>
            </w:tcBorders>
            <w:tcMar>
              <w:top w:w="20" w:type="dxa"/>
              <w:left w:w="20" w:type="dxa"/>
              <w:bottom w:w="20" w:type="dxa"/>
              <w:right w:w="20" w:type="dxa"/>
            </w:tcMar>
            <w:vAlign w:val="center"/>
          </w:tcPr>
          <w:p>
            <w:pPr>
              <w:wordWrap w:val="off"/>
            </w:pPr>
          </w:p>
        </w:tc>
        <w:tc>
          <w:tcPr>
            <w:tcW w:type="dxa" w:w="487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before="6" w:after="6"/>
        <w:jc w:val="left"/>
      </w:pPr>
      <w:r>
        <w:rPr>
          <w:rFonts w:ascii="宋体" w:hAnsi="宋体" w:cs="宋体" w:eastAsia="宋体"/>
          <w:b w:val="true"/>
          <w:color w:val="000000"/>
          <w:sz w:val="21"/>
        </w:rPr>
        <w:t>工程量清单计价表</w:t>
      </w:r>
    </w:p>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商务条款响应及偏离表</w:t>
      </w:r>
    </w:p>
    <w:p>
      <w:pPr>
        <w:wordWrap w:val="off"/>
        <w:spacing w:before="175" w:after="175"/>
        <w:jc w:val="center"/>
      </w:pPr>
      <w:r>
        <w:rPr>
          <w:rFonts w:ascii="宋体" w:hAnsi="宋体" w:cs="宋体" w:eastAsia="宋体"/>
          <w:b w:val="true"/>
          <w:color w:val="000000"/>
          <w:sz w:val="28"/>
        </w:rPr>
        <w:t>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w:t>
            </w:r>
            <w:r>
              <w:rPr>
                <w:rFonts w:ascii="宋体" w:hAnsi="宋体" w:cs="宋体" w:eastAsia="宋体"/>
                <w:color w:val="000000"/>
                <w:sz w:val="21"/>
              </w:rPr>
              <w:t xml:space="preserve">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ZJHU20250924047</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响应</w:t>
            </w:r>
            <w:r>
              <w:rPr>
                <w:rFonts w:ascii="宋体" w:hAnsi="宋体" w:cs="宋体" w:eastAsia="宋体"/>
                <w:color w:val="000000"/>
                <w:sz w:val="21"/>
              </w:rPr>
              <w:t>文件中主要商务条款的描述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2、投标单位根据项目添加的服务承诺、培训等也请列出；</w:t>
      </w:r>
    </w:p>
    <w:p>
      <w:pPr>
        <w:wordWrap w:val="off"/>
        <w:spacing w:before="0" w:after="0" w:lineRule="exact" w:line="378"/>
        <w:ind w:firstLineChars="200"/>
        <w:jc w:val="left"/>
      </w:pPr>
      <w:r>
        <w:rPr>
          <w:rFonts w:ascii="宋体" w:hAnsi="宋体" w:cs="宋体" w:eastAsia="宋体"/>
          <w:color w:val="000000"/>
          <w:sz w:val="21"/>
        </w:rPr>
        <w:t>3、是否偏离用符号“+、=、-”分别表示正偏离、完全响应、负偏离；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4、</w:t>
      </w:r>
      <w:r>
        <w:rPr>
          <w:rFonts w:ascii="宋体" w:hAnsi="宋体" w:cs="宋体" w:eastAsia="宋体"/>
          <w:color w:val="000000"/>
          <w:sz w:val="21"/>
        </w:rPr>
        <w:t>供应商</w:t>
      </w:r>
      <w:r>
        <w:rPr>
          <w:rFonts w:ascii="宋体" w:hAnsi="宋体" w:cs="宋体" w:eastAsia="宋体"/>
          <w:color w:val="000000"/>
          <w:sz w:val="21"/>
        </w:rPr>
        <w:t>必须仔细阅读采购文件中所有商务条款和相关服务要求，并对所有商务条款和服务要求偏离的条目列入上表。</w:t>
      </w:r>
      <w:r>
        <w:rPr>
          <w:rFonts w:ascii="宋体" w:hAnsi="宋体" w:cs="宋体" w:eastAsia="宋体"/>
          <w:color w:val="000000"/>
          <w:sz w:val="21"/>
        </w:rPr>
        <w:t>供应商</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响应</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3、未被“信用中国”网站(www.creditchina.gov.cn)列入失信被执行人、重大税收违法案件当事人名单；未被“中国政府采购网”(www.ccgp.gov.cn)列入政府采购严重违法失信行为记录名单。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4、市政公用工程施工总承包三级及以上资质。</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2025-09-24T06:51:02Z</dcterms:created>
  <dc:creator>Apache POI</dc:creator>
</cp:coreProperties>
</file>